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8B1" w:rsidRDefault="00B52230" w:rsidP="00B52230">
      <w:pPr>
        <w:rPr>
          <w:lang w:val="en-GB"/>
        </w:rPr>
      </w:pPr>
      <w:r>
        <w:rPr>
          <w:b/>
          <w:lang w:val="en-GB"/>
        </w:rPr>
        <w:t>Software</w:t>
      </w:r>
      <w:r w:rsidRPr="00B52230">
        <w:rPr>
          <w:b/>
          <w:lang w:val="en-GB"/>
        </w:rPr>
        <w:t xml:space="preserve"> used for the simulations</w:t>
      </w:r>
      <w:r w:rsidR="000F78B1">
        <w:rPr>
          <w:lang w:val="en-GB"/>
        </w:rPr>
        <w:t>: ADAM (Version 3.0)</w:t>
      </w:r>
    </w:p>
    <w:p w:rsidR="000F78B1" w:rsidRPr="00B52230" w:rsidRDefault="000F78B1" w:rsidP="000F78B1">
      <w:pPr>
        <w:rPr>
          <w:lang w:val="en-GB"/>
        </w:rPr>
      </w:pPr>
      <w:r>
        <w:rPr>
          <w:lang w:val="en-GB"/>
        </w:rPr>
        <w:t>The</w:t>
      </w:r>
      <w:r w:rsidR="00B52230" w:rsidRPr="00B52230">
        <w:rPr>
          <w:lang w:val="en-GB"/>
        </w:rPr>
        <w:t xml:space="preserve"> Accident </w:t>
      </w:r>
      <w:r w:rsidR="00B52230">
        <w:rPr>
          <w:lang w:val="en-GB"/>
        </w:rPr>
        <w:t xml:space="preserve">Damage Analysis Module </w:t>
      </w:r>
      <w:r>
        <w:rPr>
          <w:lang w:val="en-GB"/>
        </w:rPr>
        <w:t xml:space="preserve">Software </w:t>
      </w:r>
      <w:r w:rsidR="00432787">
        <w:rPr>
          <w:lang w:val="en-GB"/>
        </w:rPr>
        <w:t>(ADAM</w:t>
      </w:r>
      <w:r w:rsidR="00F56734">
        <w:rPr>
          <w:lang w:val="en-GB"/>
        </w:rPr>
        <w:t>) is</w:t>
      </w:r>
      <w:r w:rsidR="00B52230">
        <w:rPr>
          <w:lang w:val="en-GB"/>
        </w:rPr>
        <w:t xml:space="preserve"> </w:t>
      </w:r>
      <w:r w:rsidR="00B52230" w:rsidRPr="00B52230">
        <w:rPr>
          <w:lang w:val="en-GB"/>
        </w:rPr>
        <w:t xml:space="preserve">an official </w:t>
      </w:r>
      <w:r w:rsidR="00F56734">
        <w:rPr>
          <w:lang w:val="en-GB"/>
        </w:rPr>
        <w:t xml:space="preserve">tool of the European Commission </w:t>
      </w:r>
      <w:r w:rsidRPr="00B52230">
        <w:rPr>
          <w:lang w:val="en-GB"/>
        </w:rPr>
        <w:t>[</w:t>
      </w:r>
      <w:r>
        <w:rPr>
          <w:lang w:val="en-GB"/>
        </w:rPr>
        <w:t>1</w:t>
      </w:r>
      <w:r w:rsidRPr="00B52230">
        <w:rPr>
          <w:lang w:val="en-GB"/>
        </w:rPr>
        <w:t>]</w:t>
      </w:r>
      <w:r>
        <w:rPr>
          <w:lang w:val="en-GB"/>
        </w:rPr>
        <w:t xml:space="preserve"> </w:t>
      </w:r>
      <w:r w:rsidR="00B52230" w:rsidRPr="00B52230">
        <w:rPr>
          <w:lang w:val="en-GB"/>
        </w:rPr>
        <w:t xml:space="preserve">designed to support environment, safety and civil protection </w:t>
      </w:r>
      <w:proofErr w:type="gramStart"/>
      <w:r w:rsidR="00B52230" w:rsidRPr="00B52230">
        <w:rPr>
          <w:lang w:val="en-GB"/>
        </w:rPr>
        <w:t>authorities</w:t>
      </w:r>
      <w:proofErr w:type="gramEnd"/>
      <w:r w:rsidR="00B52230" w:rsidRPr="00B52230">
        <w:rPr>
          <w:lang w:val="en-GB"/>
        </w:rPr>
        <w:t xml:space="preserve"> tool for estimating the consequences industrial accident in terms of thermal radiation, overpressure or toxic concentration that may result from an unintended release of a flammable or toxic substance [</w:t>
      </w:r>
      <w:r w:rsidR="00B52230">
        <w:rPr>
          <w:lang w:val="en-GB"/>
        </w:rPr>
        <w:t>2</w:t>
      </w:r>
      <w:r w:rsidR="00B52230" w:rsidRPr="00B52230">
        <w:rPr>
          <w:lang w:val="en-GB"/>
        </w:rPr>
        <w:t>-</w:t>
      </w:r>
      <w:r w:rsidR="00B52230">
        <w:rPr>
          <w:lang w:val="en-GB"/>
        </w:rPr>
        <w:t>5</w:t>
      </w:r>
      <w:r w:rsidR="00B52230" w:rsidRPr="00B52230">
        <w:rPr>
          <w:lang w:val="en-GB"/>
        </w:rPr>
        <w:t>]. For this purpose, suitable models were selected and combined to aid in simulation of the possible evolution of an accident, from the time o</w:t>
      </w:r>
      <w:r>
        <w:rPr>
          <w:lang w:val="en-GB"/>
        </w:rPr>
        <w:t>f release to the final damage.</w:t>
      </w:r>
      <w:r w:rsidRPr="000F78B1">
        <w:rPr>
          <w:lang w:val="en-GB"/>
        </w:rPr>
        <w:t xml:space="preserve"> </w:t>
      </w:r>
      <w:r>
        <w:rPr>
          <w:lang w:val="en-GB"/>
        </w:rPr>
        <w:t xml:space="preserve">The evaluation of the tool performance is reported in </w:t>
      </w:r>
      <w:r w:rsidRPr="00B52230">
        <w:rPr>
          <w:lang w:val="en-GB"/>
        </w:rPr>
        <w:t>[</w:t>
      </w:r>
      <w:r>
        <w:rPr>
          <w:lang w:val="en-GB"/>
        </w:rPr>
        <w:t>3</w:t>
      </w:r>
      <w:r w:rsidRPr="00B52230">
        <w:rPr>
          <w:lang w:val="en-GB"/>
        </w:rPr>
        <w:t>]</w:t>
      </w:r>
      <w:r w:rsidR="00432787">
        <w:rPr>
          <w:lang w:val="en-GB"/>
        </w:rPr>
        <w:t>, and</w:t>
      </w:r>
      <w:r>
        <w:rPr>
          <w:lang w:val="en-GB"/>
        </w:rPr>
        <w:t xml:space="preserve"> </w:t>
      </w:r>
      <w:r w:rsidRPr="00B52230">
        <w:rPr>
          <w:lang w:val="en-GB"/>
        </w:rPr>
        <w:t>[</w:t>
      </w:r>
      <w:r>
        <w:rPr>
          <w:lang w:val="en-GB"/>
        </w:rPr>
        <w:t>4</w:t>
      </w:r>
      <w:r w:rsidRPr="00B52230">
        <w:rPr>
          <w:lang w:val="en-GB"/>
        </w:rPr>
        <w:t>]</w:t>
      </w:r>
      <w:r w:rsidR="00432787">
        <w:rPr>
          <w:lang w:val="en-GB"/>
        </w:rPr>
        <w:t>.</w:t>
      </w:r>
    </w:p>
    <w:p w:rsidR="00B52230" w:rsidRPr="000F78B1" w:rsidRDefault="000F78B1" w:rsidP="000F78B1">
      <w:pPr>
        <w:rPr>
          <w:lang w:val="en-GB"/>
        </w:rPr>
      </w:pPr>
      <w:r w:rsidRPr="000F78B1">
        <w:rPr>
          <w:lang w:val="en-GB"/>
        </w:rPr>
        <w:t xml:space="preserve">With reference to </w:t>
      </w:r>
      <w:r w:rsidR="00B52230" w:rsidRPr="000F78B1">
        <w:rPr>
          <w:lang w:val="en-GB"/>
        </w:rPr>
        <w:t>airborne dispersion</w:t>
      </w:r>
      <w:r w:rsidRPr="000F78B1">
        <w:rPr>
          <w:lang w:val="en-GB"/>
        </w:rPr>
        <w:t xml:space="preserve">, the model implemented in ADAM </w:t>
      </w:r>
      <w:r w:rsidR="00B52230" w:rsidRPr="000F78B1">
        <w:rPr>
          <w:lang w:val="en-GB"/>
        </w:rPr>
        <w:t xml:space="preserve">is based on SLAB </w:t>
      </w:r>
      <w:r w:rsidRPr="000F78B1">
        <w:rPr>
          <w:lang w:val="en-GB"/>
        </w:rPr>
        <w:t>[6]</w:t>
      </w:r>
      <w:r w:rsidR="00B52230" w:rsidRPr="000F78B1">
        <w:rPr>
          <w:lang w:val="en-GB"/>
        </w:rPr>
        <w:t xml:space="preserve">. Amongst the several code improvements </w:t>
      </w:r>
      <w:r w:rsidR="00F56734">
        <w:rPr>
          <w:lang w:val="en-GB"/>
        </w:rPr>
        <w:t xml:space="preserve">of the original model </w:t>
      </w:r>
      <w:r w:rsidR="00B52230" w:rsidRPr="000F78B1">
        <w:rPr>
          <w:lang w:val="en-GB"/>
        </w:rPr>
        <w:t>the following model modifications have been implemented</w:t>
      </w:r>
      <w:r w:rsidR="00F56734">
        <w:rPr>
          <w:lang w:val="en-GB"/>
        </w:rPr>
        <w:t xml:space="preserve"> in ADAM</w:t>
      </w:r>
      <w:r w:rsidR="00B52230" w:rsidRPr="000F78B1">
        <w:rPr>
          <w:lang w:val="en-GB"/>
        </w:rPr>
        <w:t xml:space="preserve"> (for more details see </w:t>
      </w:r>
      <w:r w:rsidRPr="000F78B1">
        <w:rPr>
          <w:lang w:val="en-GB"/>
        </w:rPr>
        <w:t>[</w:t>
      </w:r>
      <w:r w:rsidRPr="000F78B1">
        <w:rPr>
          <w:lang w:val="en-GB"/>
        </w:rPr>
        <w:t>2</w:t>
      </w:r>
      <w:r w:rsidRPr="000F78B1">
        <w:rPr>
          <w:lang w:val="en-GB"/>
        </w:rPr>
        <w:t>]</w:t>
      </w:r>
      <w:r w:rsidRPr="000F78B1">
        <w:rPr>
          <w:lang w:val="en-GB"/>
        </w:rPr>
        <w:t xml:space="preserve">,and </w:t>
      </w:r>
      <w:r w:rsidRPr="000F78B1">
        <w:rPr>
          <w:lang w:val="en-GB"/>
        </w:rPr>
        <w:t>[</w:t>
      </w:r>
      <w:r w:rsidRPr="000F78B1">
        <w:rPr>
          <w:lang w:val="en-GB"/>
        </w:rPr>
        <w:t>5</w:t>
      </w:r>
      <w:r w:rsidRPr="000F78B1">
        <w:rPr>
          <w:lang w:val="en-GB"/>
        </w:rPr>
        <w:t>]</w:t>
      </w:r>
      <w:r w:rsidR="00B52230" w:rsidRPr="000F78B1">
        <w:rPr>
          <w:lang w:val="en-GB"/>
        </w:rPr>
        <w:t>:</w:t>
      </w:r>
      <w:r w:rsidRPr="000F78B1">
        <w:rPr>
          <w:lang w:val="en-GB"/>
        </w:rPr>
        <w:t xml:space="preserve"> (i) </w:t>
      </w:r>
      <w:r w:rsidR="00B52230" w:rsidRPr="000F78B1">
        <w:rPr>
          <w:lang w:val="en-GB"/>
        </w:rPr>
        <w:t>alternative calculus of the average concentration for instantaneous releases;</w:t>
      </w:r>
      <w:r w:rsidRPr="000F78B1">
        <w:rPr>
          <w:lang w:val="en-GB"/>
        </w:rPr>
        <w:t xml:space="preserve"> (ii) </w:t>
      </w:r>
      <w:r w:rsidRPr="000F78B1">
        <w:rPr>
          <w:lang w:val="en-GB"/>
        </w:rPr>
        <w:t xml:space="preserve">inclusion of the source term module by addressing time-varying releases; </w:t>
      </w:r>
      <w:r w:rsidRPr="000F78B1">
        <w:rPr>
          <w:lang w:val="en-GB"/>
        </w:rPr>
        <w:t xml:space="preserve">(iii) </w:t>
      </w:r>
      <w:r w:rsidRPr="000F78B1">
        <w:rPr>
          <w:lang w:val="en-GB"/>
        </w:rPr>
        <w:t>calculus of the rainout;</w:t>
      </w:r>
      <w:r w:rsidRPr="000F78B1">
        <w:rPr>
          <w:lang w:val="en-GB"/>
        </w:rPr>
        <w:t xml:space="preserve"> (iv) </w:t>
      </w:r>
      <w:r w:rsidRPr="000F78B1">
        <w:rPr>
          <w:lang w:val="en-GB"/>
        </w:rPr>
        <w:t>combination of the contribution from direct vapour source and from the pool vaporization in case of rainout;</w:t>
      </w:r>
      <w:r w:rsidRPr="000F78B1">
        <w:rPr>
          <w:lang w:val="en-GB"/>
        </w:rPr>
        <w:t xml:space="preserve"> (v) </w:t>
      </w:r>
      <w:r w:rsidRPr="000F78B1">
        <w:rPr>
          <w:lang w:val="en-GB"/>
        </w:rPr>
        <w:t>Calculus of downward jets dispersion by including modifications to the rainout module.</w:t>
      </w:r>
    </w:p>
    <w:p w:rsidR="008A3EAD" w:rsidRDefault="000F78B1" w:rsidP="008A3EAD">
      <w:pPr>
        <w:rPr>
          <w:lang w:val="en-GB"/>
        </w:rPr>
      </w:pPr>
      <w:r>
        <w:rPr>
          <w:lang w:val="en-GB"/>
        </w:rPr>
        <w:t xml:space="preserve">The </w:t>
      </w:r>
      <w:r w:rsidR="00432787">
        <w:rPr>
          <w:lang w:val="en-GB"/>
        </w:rPr>
        <w:t xml:space="preserve">current </w:t>
      </w:r>
      <w:r>
        <w:rPr>
          <w:lang w:val="en-GB"/>
        </w:rPr>
        <w:t>simulations were carried out by using the model input conditions give</w:t>
      </w:r>
      <w:r w:rsidR="00432787">
        <w:rPr>
          <w:lang w:val="en-GB"/>
        </w:rPr>
        <w:t>n</w:t>
      </w:r>
      <w:r>
        <w:rPr>
          <w:lang w:val="en-GB"/>
        </w:rPr>
        <w:t xml:space="preserve"> in Table 1 of </w:t>
      </w:r>
      <w:r w:rsidR="002A696E">
        <w:rPr>
          <w:lang w:val="en-GB"/>
        </w:rPr>
        <w:t>“</w:t>
      </w:r>
      <w:r w:rsidR="002A696E" w:rsidRPr="002A696E">
        <w:rPr>
          <w:lang w:val="en-GB"/>
        </w:rPr>
        <w:t>Jack Ra</w:t>
      </w:r>
      <w:r w:rsidR="002A696E">
        <w:rPr>
          <w:lang w:val="en-GB"/>
        </w:rPr>
        <w:t xml:space="preserve">bbit III </w:t>
      </w:r>
      <w:proofErr w:type="spellStart"/>
      <w:r w:rsidR="002A696E">
        <w:rPr>
          <w:lang w:val="en-GB"/>
        </w:rPr>
        <w:t>Modelers</w:t>
      </w:r>
      <w:proofErr w:type="spellEnd"/>
      <w:r w:rsidR="002A696E">
        <w:rPr>
          <w:lang w:val="en-GB"/>
        </w:rPr>
        <w:t xml:space="preserve"> Working Group </w:t>
      </w:r>
      <w:r w:rsidR="002A696E" w:rsidRPr="002A696E">
        <w:rPr>
          <w:lang w:val="en-GB"/>
        </w:rPr>
        <w:t xml:space="preserve">Initial </w:t>
      </w:r>
      <w:proofErr w:type="spellStart"/>
      <w:r w:rsidR="002A696E" w:rsidRPr="002A696E">
        <w:rPr>
          <w:lang w:val="en-GB"/>
        </w:rPr>
        <w:t>Modeling</w:t>
      </w:r>
      <w:proofErr w:type="spellEnd"/>
      <w:r w:rsidR="002A696E" w:rsidRPr="002A696E">
        <w:rPr>
          <w:lang w:val="en-GB"/>
        </w:rPr>
        <w:t xml:space="preserve"> Exercise (2021-2022)</w:t>
      </w:r>
      <w:r w:rsidR="002A696E">
        <w:rPr>
          <w:lang w:val="en-GB"/>
        </w:rPr>
        <w:t xml:space="preserve">”, Version 2.3, 21 December 2021 by </w:t>
      </w:r>
      <w:r w:rsidR="00432787">
        <w:rPr>
          <w:lang w:val="en-GB"/>
        </w:rPr>
        <w:t xml:space="preserve">Joseph </w:t>
      </w:r>
      <w:proofErr w:type="gramStart"/>
      <w:r w:rsidR="00432787">
        <w:rPr>
          <w:lang w:val="en-GB"/>
        </w:rPr>
        <w:t xml:space="preserve">Chang </w:t>
      </w:r>
      <w:r w:rsidR="002A696E" w:rsidRPr="002A696E">
        <w:rPr>
          <w:lang w:val="en-GB"/>
        </w:rPr>
        <w:t xml:space="preserve"> and</w:t>
      </w:r>
      <w:proofErr w:type="gramEnd"/>
      <w:r w:rsidR="002A696E" w:rsidRPr="002A696E">
        <w:rPr>
          <w:lang w:val="en-GB"/>
        </w:rPr>
        <w:t xml:space="preserve"> Simon Gant</w:t>
      </w:r>
      <w:r w:rsidR="002A696E">
        <w:rPr>
          <w:lang w:val="en-GB"/>
        </w:rPr>
        <w:t xml:space="preserve">. The </w:t>
      </w:r>
      <w:r w:rsidR="002A696E" w:rsidRPr="002A696E">
        <w:rPr>
          <w:u w:val="single"/>
          <w:lang w:val="en-GB"/>
        </w:rPr>
        <w:t>source term module of ADAM was partially bypassed by</w:t>
      </w:r>
      <w:r w:rsidR="002A696E" w:rsidRPr="002A696E">
        <w:rPr>
          <w:lang w:val="en-GB"/>
        </w:rPr>
        <w:t xml:space="preserve"> using a constant release rate and the release duration as given in Table 1. By contrast the </w:t>
      </w:r>
      <w:r w:rsidR="002A696E" w:rsidRPr="002A696E">
        <w:rPr>
          <w:u w:val="single"/>
          <w:lang w:val="en-GB"/>
        </w:rPr>
        <w:t>rainout and the following evaporation were calculated using the ADAM calculus library</w:t>
      </w:r>
      <w:r w:rsidR="002A696E" w:rsidRPr="002A696E">
        <w:rPr>
          <w:lang w:val="en-GB"/>
        </w:rPr>
        <w:t xml:space="preserve">. </w:t>
      </w:r>
      <w:r w:rsidR="002A696E">
        <w:rPr>
          <w:lang w:val="en-GB"/>
        </w:rPr>
        <w:t xml:space="preserve">This </w:t>
      </w:r>
      <w:r w:rsidR="002A696E" w:rsidRPr="002A696E">
        <w:rPr>
          <w:lang w:val="en-GB"/>
        </w:rPr>
        <w:t xml:space="preserve">allows estimating the mass fraction of the droplets falling on the ground and those remaining airborne, </w:t>
      </w:r>
      <w:r w:rsidR="002A696E">
        <w:rPr>
          <w:lang w:val="en-GB"/>
        </w:rPr>
        <w:t xml:space="preserve">and </w:t>
      </w:r>
      <w:r w:rsidR="002A696E" w:rsidRPr="002A696E">
        <w:rPr>
          <w:lang w:val="en-GB"/>
        </w:rPr>
        <w:t xml:space="preserve">the dispersion is calculated by using a </w:t>
      </w:r>
      <w:r w:rsidR="002A696E" w:rsidRPr="00432787">
        <w:rPr>
          <w:u w:val="single"/>
          <w:lang w:val="en-GB"/>
        </w:rPr>
        <w:t xml:space="preserve">recombination </w:t>
      </w:r>
      <w:r w:rsidR="00036B1F" w:rsidRPr="00432787">
        <w:rPr>
          <w:u w:val="single"/>
          <w:lang w:val="en-GB"/>
        </w:rPr>
        <w:t>algorithm</w:t>
      </w:r>
      <w:r w:rsidR="00036B1F" w:rsidRPr="00036B1F">
        <w:rPr>
          <w:lang w:val="en-GB"/>
        </w:rPr>
        <w:t xml:space="preserve"> </w:t>
      </w:r>
      <w:r w:rsidR="008A3EAD">
        <w:rPr>
          <w:lang w:val="en-GB"/>
        </w:rPr>
        <w:t xml:space="preserve">(see </w:t>
      </w:r>
      <w:r w:rsidR="008A3EAD" w:rsidRPr="00B52230">
        <w:rPr>
          <w:lang w:val="en-GB"/>
        </w:rPr>
        <w:t>[</w:t>
      </w:r>
      <w:r w:rsidR="008A3EAD">
        <w:rPr>
          <w:lang w:val="en-GB"/>
        </w:rPr>
        <w:t>2</w:t>
      </w:r>
      <w:r w:rsidR="008A3EAD" w:rsidRPr="00B52230">
        <w:rPr>
          <w:lang w:val="en-GB"/>
        </w:rPr>
        <w:t>]</w:t>
      </w:r>
      <w:r w:rsidR="008A3EAD">
        <w:rPr>
          <w:lang w:val="en-GB"/>
        </w:rPr>
        <w:t>)</w:t>
      </w:r>
      <w:r w:rsidR="002A696E" w:rsidRPr="002A696E">
        <w:rPr>
          <w:lang w:val="en-GB"/>
        </w:rPr>
        <w:t>. In particular, the dispersion effect of the vapour jet is combined with the vapour resulting from the vaporisation of the rainout pool. These two phenomena are considered as independent, and ADAM separately estimates the effects associated with each other. The overall concentration is conservatively estimated by adding up each contribution</w:t>
      </w:r>
      <w:r w:rsidR="00432787">
        <w:rPr>
          <w:lang w:val="en-GB"/>
        </w:rPr>
        <w:t xml:space="preserve"> after having applied </w:t>
      </w:r>
      <w:r w:rsidR="002A696E" w:rsidRPr="002A696E">
        <w:rPr>
          <w:lang w:val="en-GB"/>
        </w:rPr>
        <w:t xml:space="preserve">the </w:t>
      </w:r>
      <w:r w:rsidR="002A696E">
        <w:rPr>
          <w:lang w:val="en-GB"/>
        </w:rPr>
        <w:t>ADAM-</w:t>
      </w:r>
      <w:r w:rsidR="002A696E" w:rsidRPr="002A696E">
        <w:rPr>
          <w:lang w:val="en-GB"/>
        </w:rPr>
        <w:t xml:space="preserve">SLAB model twice. The first calculus is </w:t>
      </w:r>
      <w:r w:rsidR="00432787">
        <w:rPr>
          <w:lang w:val="en-GB"/>
        </w:rPr>
        <w:t>conducted on</w:t>
      </w:r>
      <w:r w:rsidR="002A696E" w:rsidRPr="002A696E">
        <w:rPr>
          <w:lang w:val="en-GB"/>
        </w:rPr>
        <w:t xml:space="preserve"> the primary phenomenon i.e., the one associated with the direct vapour </w:t>
      </w:r>
      <w:r w:rsidR="008A3EAD">
        <w:rPr>
          <w:lang w:val="en-GB"/>
        </w:rPr>
        <w:t>jet</w:t>
      </w:r>
      <w:r w:rsidR="002A696E" w:rsidRPr="002A696E">
        <w:rPr>
          <w:lang w:val="en-GB"/>
        </w:rPr>
        <w:t>, whilst the second is associated with the secondary and less relevant phenomenon (i.e., the vaporisation for the pool resulting from the rainout).</w:t>
      </w:r>
      <w:r w:rsidR="008A3EAD">
        <w:rPr>
          <w:lang w:val="en-GB"/>
        </w:rPr>
        <w:t xml:space="preserve"> </w:t>
      </w:r>
    </w:p>
    <w:p w:rsidR="008A3EAD" w:rsidRPr="008A3EAD" w:rsidRDefault="008A3EAD" w:rsidP="008A3EAD">
      <w:pPr>
        <w:rPr>
          <w:lang w:val="en-GB"/>
        </w:rPr>
      </w:pPr>
      <w:r w:rsidRPr="008A3EAD">
        <w:rPr>
          <w:lang w:val="en-GB"/>
        </w:rPr>
        <w:t xml:space="preserve">For both Desert Tortoise and </w:t>
      </w:r>
      <w:r w:rsidR="00F56734">
        <w:rPr>
          <w:lang w:val="en-GB"/>
        </w:rPr>
        <w:t>FLADIS</w:t>
      </w:r>
      <w:r w:rsidRPr="008A3EAD">
        <w:rPr>
          <w:lang w:val="en-GB"/>
        </w:rPr>
        <w:t xml:space="preserve"> experiments, according to ADAM simulations all aerosols components evaporated or rained out before the position of the closest sensors (i.e. 100m and 20m, respectively). The output data refer to the vapour concentration only.</w:t>
      </w:r>
    </w:p>
    <w:p w:rsidR="008A3EAD" w:rsidRDefault="008A3EAD" w:rsidP="008A3EAD">
      <w:pPr>
        <w:rPr>
          <w:lang w:val="en-GB"/>
        </w:rPr>
      </w:pPr>
      <w:r w:rsidRPr="008A3EAD">
        <w:rPr>
          <w:lang w:val="en-GB"/>
        </w:rPr>
        <w:t xml:space="preserve">For Desert Tortoise the calculated rainout was </w:t>
      </w:r>
      <w:r w:rsidRPr="008A3EAD">
        <w:rPr>
          <w:lang w:val="en-GB"/>
        </w:rPr>
        <w:t>lower than the value of 5% proposed on Table 1</w:t>
      </w:r>
      <w:r>
        <w:rPr>
          <w:lang w:val="en-GB"/>
        </w:rPr>
        <w:t>. It resulted indeed of less than 1%, on average. For FLADIS, no significant pool was determined, and in this case the recombination procedure was not required.</w:t>
      </w:r>
    </w:p>
    <w:p w:rsidR="00B52230" w:rsidRDefault="00B52230" w:rsidP="00B52230">
      <w:pPr>
        <w:rPr>
          <w:lang w:val="en-GB"/>
        </w:rPr>
      </w:pPr>
      <w:r w:rsidRPr="00B52230">
        <w:rPr>
          <w:lang w:val="en-GB"/>
        </w:rPr>
        <w:t xml:space="preserve">Averaging time was </w:t>
      </w:r>
      <w:r w:rsidR="00432787">
        <w:rPr>
          <w:lang w:val="en-GB"/>
        </w:rPr>
        <w:t xml:space="preserve">applied as </w:t>
      </w:r>
      <w:r w:rsidR="00F56734">
        <w:rPr>
          <w:lang w:val="en-GB"/>
        </w:rPr>
        <w:t>indicated in T</w:t>
      </w:r>
      <w:r w:rsidR="00432787">
        <w:rPr>
          <w:lang w:val="en-GB"/>
        </w:rPr>
        <w:t>able 1</w:t>
      </w:r>
      <w:r w:rsidR="00F56734">
        <w:rPr>
          <w:lang w:val="en-GB"/>
        </w:rPr>
        <w:t xml:space="preserve"> of the aforementioned report</w:t>
      </w:r>
      <w:r w:rsidR="00432787">
        <w:rPr>
          <w:lang w:val="en-GB"/>
        </w:rPr>
        <w:t xml:space="preserve">. </w:t>
      </w:r>
    </w:p>
    <w:p w:rsidR="00836A84" w:rsidRDefault="00BA579B" w:rsidP="00836A84">
      <w:pPr>
        <w:rPr>
          <w:lang w:val="en-GB"/>
        </w:rPr>
      </w:pPr>
      <w:r>
        <w:rPr>
          <w:lang w:val="en-GB"/>
        </w:rPr>
        <w:t xml:space="preserve">The following section provides the list of files containing the ADAM simulations. </w:t>
      </w:r>
      <w:r w:rsidR="00836A84">
        <w:rPr>
          <w:lang w:val="en-GB"/>
        </w:rPr>
        <w:t xml:space="preserve">The first series of files </w:t>
      </w:r>
      <w:r>
        <w:rPr>
          <w:lang w:val="en-GB"/>
        </w:rPr>
        <w:t>provide</w:t>
      </w:r>
      <w:r w:rsidR="00D60877">
        <w:rPr>
          <w:lang w:val="en-GB"/>
        </w:rPr>
        <w:t>s</w:t>
      </w:r>
      <w:r>
        <w:rPr>
          <w:lang w:val="en-GB"/>
        </w:rPr>
        <w:t xml:space="preserve"> the </w:t>
      </w:r>
      <w:r w:rsidRPr="00602FA3">
        <w:rPr>
          <w:lang w:val="en-GB"/>
        </w:rPr>
        <w:t>predicted arc-max concentrations versus distance for all six trials giv</w:t>
      </w:r>
      <w:r>
        <w:rPr>
          <w:lang w:val="en-GB"/>
        </w:rPr>
        <w:t xml:space="preserve">en in Table 1, at </w:t>
      </w:r>
      <w:r w:rsidRPr="00D60877">
        <w:rPr>
          <w:u w:val="single"/>
          <w:lang w:val="en-GB"/>
        </w:rPr>
        <w:t xml:space="preserve">1m </w:t>
      </w:r>
      <w:r w:rsidRPr="00D60877">
        <w:rPr>
          <w:u w:val="single"/>
          <w:lang w:val="en-GB"/>
        </w:rPr>
        <w:t>height</w:t>
      </w:r>
      <w:r w:rsidRPr="00D60877">
        <w:rPr>
          <w:u w:val="single"/>
          <w:lang w:val="en-GB"/>
        </w:rPr>
        <w:t xml:space="preserve"> from the ground</w:t>
      </w:r>
      <w:r>
        <w:rPr>
          <w:lang w:val="en-GB"/>
        </w:rPr>
        <w:t xml:space="preserve">. </w:t>
      </w:r>
      <w:r w:rsidR="00836A84">
        <w:rPr>
          <w:lang w:val="en-GB"/>
        </w:rPr>
        <w:t xml:space="preserve">The second series of files give the predicted plume widths calculated </w:t>
      </w:r>
      <w:r w:rsidR="00836A84" w:rsidRPr="00602FA3">
        <w:rPr>
          <w:lang w:val="en-GB"/>
        </w:rPr>
        <w:t>from the moments of the concent</w:t>
      </w:r>
      <w:r w:rsidR="00836A84">
        <w:rPr>
          <w:lang w:val="en-GB"/>
        </w:rPr>
        <w:t xml:space="preserve">ration distribution across the </w:t>
      </w:r>
      <w:r w:rsidR="00836A84" w:rsidRPr="00602FA3">
        <w:rPr>
          <w:lang w:val="en-GB"/>
        </w:rPr>
        <w:t>arc of sensors (</w:t>
      </w:r>
      <w:r w:rsidR="00931CEE">
        <w:rPr>
          <w:lang w:val="en-GB"/>
        </w:rPr>
        <w:t>CERC, 2000).</w:t>
      </w:r>
      <w:r w:rsidR="00D60877">
        <w:rPr>
          <w:lang w:val="en-GB"/>
        </w:rPr>
        <w:t xml:space="preserve"> Together with the plume widths arc-max concentrations for the different arc distances and heights</w:t>
      </w:r>
      <w:r w:rsidR="00F56734">
        <w:rPr>
          <w:lang w:val="en-GB"/>
        </w:rPr>
        <w:t xml:space="preserve"> were given</w:t>
      </w:r>
      <w:r w:rsidR="00D60877">
        <w:rPr>
          <w:lang w:val="en-GB"/>
        </w:rPr>
        <w:t xml:space="preserve">. This to allow a better punctual comparison with the experimental </w:t>
      </w:r>
      <w:proofErr w:type="gramStart"/>
      <w:r w:rsidR="00D60877">
        <w:rPr>
          <w:lang w:val="en-GB"/>
        </w:rPr>
        <w:t xml:space="preserve">data, </w:t>
      </w:r>
      <w:r w:rsidR="00F56734">
        <w:rPr>
          <w:lang w:val="en-GB"/>
        </w:rPr>
        <w:t>that</w:t>
      </w:r>
      <w:proofErr w:type="gramEnd"/>
      <w:r w:rsidR="00F56734">
        <w:rPr>
          <w:lang w:val="en-GB"/>
        </w:rPr>
        <w:t xml:space="preserve"> is particular relevant for </w:t>
      </w:r>
      <w:r w:rsidR="00D60877">
        <w:rPr>
          <w:lang w:val="en-GB"/>
        </w:rPr>
        <w:t xml:space="preserve">FLADIS trials </w:t>
      </w:r>
      <w:r w:rsidR="00F56734">
        <w:rPr>
          <w:lang w:val="en-GB"/>
        </w:rPr>
        <w:t xml:space="preserve">where the sensor were positioned at </w:t>
      </w:r>
      <w:r w:rsidR="00D60877">
        <w:rPr>
          <w:lang w:val="en-GB"/>
        </w:rPr>
        <w:t>different</w:t>
      </w:r>
      <w:r w:rsidR="00F56734">
        <w:rPr>
          <w:lang w:val="en-GB"/>
        </w:rPr>
        <w:t xml:space="preserve"> </w:t>
      </w:r>
      <w:r w:rsidR="00D60877">
        <w:rPr>
          <w:lang w:val="en-GB"/>
        </w:rPr>
        <w:t>heights.</w:t>
      </w:r>
    </w:p>
    <w:p w:rsidR="002F173A" w:rsidRDefault="002F173A" w:rsidP="002F173A">
      <w:pPr>
        <w:rPr>
          <w:lang w:val="en-GB"/>
        </w:rPr>
      </w:pPr>
      <w:r>
        <w:rPr>
          <w:b/>
          <w:lang w:val="en-GB"/>
        </w:rPr>
        <w:lastRenderedPageBreak/>
        <w:t>Results of ADAM simulations</w:t>
      </w:r>
    </w:p>
    <w:p w:rsidR="002F173A" w:rsidRDefault="002F173A" w:rsidP="00836A84">
      <w:pPr>
        <w:rPr>
          <w:lang w:val="en-GB"/>
        </w:rPr>
      </w:pPr>
      <w:r>
        <w:rPr>
          <w:lang w:val="en-GB"/>
        </w:rPr>
        <w:t>The outcome of ADAM simulation for both Desert Tortoise and FLADIS is given hereunder:</w:t>
      </w:r>
    </w:p>
    <w:tbl>
      <w:tblPr>
        <w:tblW w:w="774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2"/>
        <w:gridCol w:w="927"/>
        <w:gridCol w:w="960"/>
        <w:gridCol w:w="1000"/>
        <w:gridCol w:w="1000"/>
        <w:gridCol w:w="1000"/>
      </w:tblGrid>
      <w:tr w:rsidR="006C1F4D" w:rsidRPr="006C1F4D" w:rsidTr="009E5E2E">
        <w:trPr>
          <w:trHeight w:val="300"/>
        </w:trPr>
        <w:tc>
          <w:tcPr>
            <w:tcW w:w="7749" w:type="dxa"/>
            <w:gridSpan w:val="6"/>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i/>
                <w:iCs/>
                <w:color w:val="000000"/>
                <w:lang w:val="en-GB" w:eastAsia="it-IT"/>
              </w:rPr>
              <w:t>Desert Tortoise</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 xml:space="preserve">Distance </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Height</w:t>
            </w:r>
          </w:p>
        </w:tc>
        <w:tc>
          <w:tcPr>
            <w:tcW w:w="100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DT1</w:t>
            </w:r>
          </w:p>
        </w:tc>
        <w:tc>
          <w:tcPr>
            <w:tcW w:w="100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DT2</w:t>
            </w:r>
          </w:p>
        </w:tc>
        <w:tc>
          <w:tcPr>
            <w:tcW w:w="100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DT4</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Arc-Max Concentration (ppmv)</w:t>
            </w: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100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1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117113</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154476</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143548</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800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1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6385</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10553</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12352</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Plume Width(m)</w:t>
            </w: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100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1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12,5</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13,9</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15,2</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800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1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73,7</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101,5</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122,7</w:t>
            </w:r>
          </w:p>
        </w:tc>
      </w:tr>
      <w:tr w:rsidR="006C1F4D" w:rsidRPr="006C1F4D" w:rsidTr="00C844B7">
        <w:trPr>
          <w:trHeight w:val="300"/>
        </w:trPr>
        <w:tc>
          <w:tcPr>
            <w:tcW w:w="7749" w:type="dxa"/>
            <w:gridSpan w:val="6"/>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i/>
                <w:iCs/>
                <w:color w:val="000000"/>
                <w:lang w:eastAsia="it-IT"/>
              </w:rPr>
              <w:t>FLADIS</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 xml:space="preserve">Distance </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Height</w:t>
            </w:r>
          </w:p>
        </w:tc>
        <w:tc>
          <w:tcPr>
            <w:tcW w:w="100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FLADIS9</w:t>
            </w:r>
          </w:p>
        </w:tc>
        <w:tc>
          <w:tcPr>
            <w:tcW w:w="100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FLADIS16</w:t>
            </w:r>
          </w:p>
        </w:tc>
        <w:tc>
          <w:tcPr>
            <w:tcW w:w="100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FLADIS24</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Arc-Max Concentration (ppmv)</w:t>
            </w: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20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0,1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20360</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18083</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19773</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70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0,5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2268</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2128</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1463</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238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1,5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240</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267</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140</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b/>
                <w:bCs/>
                <w:color w:val="000000"/>
                <w:lang w:eastAsia="it-IT"/>
              </w:rPr>
            </w:pPr>
            <w:r w:rsidRPr="006C1F4D">
              <w:rPr>
                <w:rFonts w:ascii="Calibri" w:eastAsia="Times New Roman" w:hAnsi="Calibri" w:cs="Calibri"/>
                <w:b/>
                <w:bCs/>
                <w:color w:val="000000"/>
                <w:lang w:eastAsia="it-IT"/>
              </w:rPr>
              <w:t>Plume Width(m)</w:t>
            </w: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20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0,1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1,9</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2,5</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2,4</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70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0,5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6,6</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8,0</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7,6</w:t>
            </w:r>
          </w:p>
        </w:tc>
      </w:tr>
      <w:tr w:rsidR="006C1F4D" w:rsidRPr="006C1F4D" w:rsidTr="006C1F4D">
        <w:trPr>
          <w:trHeight w:val="300"/>
        </w:trPr>
        <w:tc>
          <w:tcPr>
            <w:tcW w:w="2862"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p>
        </w:tc>
        <w:tc>
          <w:tcPr>
            <w:tcW w:w="927"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238 m</w:t>
            </w:r>
          </w:p>
        </w:tc>
        <w:tc>
          <w:tcPr>
            <w:tcW w:w="960" w:type="dxa"/>
            <w:shd w:val="clear" w:color="auto" w:fill="auto"/>
            <w:noWrap/>
            <w:vAlign w:val="bottom"/>
            <w:hideMark/>
          </w:tcPr>
          <w:p w:rsidR="006C1F4D" w:rsidRPr="006C1F4D" w:rsidRDefault="006C1F4D" w:rsidP="006C1F4D">
            <w:pPr>
              <w:spacing w:after="0" w:line="240" w:lineRule="auto"/>
              <w:rPr>
                <w:rFonts w:ascii="Calibri" w:eastAsia="Times New Roman" w:hAnsi="Calibri" w:cs="Calibri"/>
                <w:color w:val="000000"/>
                <w:lang w:eastAsia="it-IT"/>
              </w:rPr>
            </w:pPr>
            <w:r w:rsidRPr="006C1F4D">
              <w:rPr>
                <w:rFonts w:ascii="Calibri" w:eastAsia="Times New Roman" w:hAnsi="Calibri" w:cs="Calibri"/>
                <w:color w:val="000000"/>
                <w:lang w:eastAsia="it-IT"/>
              </w:rPr>
              <w:t>1,5 m</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19,1</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20,2</w:t>
            </w:r>
          </w:p>
        </w:tc>
        <w:tc>
          <w:tcPr>
            <w:tcW w:w="1000" w:type="dxa"/>
            <w:shd w:val="clear" w:color="auto" w:fill="auto"/>
            <w:noWrap/>
            <w:vAlign w:val="bottom"/>
            <w:hideMark/>
          </w:tcPr>
          <w:p w:rsidR="006C1F4D" w:rsidRPr="006C1F4D" w:rsidRDefault="006C1F4D" w:rsidP="006C1F4D">
            <w:pPr>
              <w:spacing w:after="0" w:line="240" w:lineRule="auto"/>
              <w:jc w:val="right"/>
              <w:rPr>
                <w:rFonts w:ascii="Calibri" w:eastAsia="Times New Roman" w:hAnsi="Calibri" w:cs="Calibri"/>
                <w:color w:val="000000"/>
                <w:lang w:eastAsia="it-IT"/>
              </w:rPr>
            </w:pPr>
            <w:r w:rsidRPr="006C1F4D">
              <w:rPr>
                <w:rFonts w:ascii="Calibri" w:eastAsia="Times New Roman" w:hAnsi="Calibri" w:cs="Calibri"/>
                <w:color w:val="000000"/>
                <w:lang w:eastAsia="it-IT"/>
              </w:rPr>
              <w:t>21,1</w:t>
            </w:r>
          </w:p>
        </w:tc>
      </w:tr>
    </w:tbl>
    <w:p w:rsidR="00F56734" w:rsidRPr="002F173A" w:rsidRDefault="00F56734" w:rsidP="00836A84">
      <w:pPr>
        <w:rPr>
          <w:sz w:val="20"/>
          <w:szCs w:val="20"/>
          <w:lang w:val="en-GB"/>
        </w:rPr>
      </w:pPr>
    </w:p>
    <w:p w:rsidR="002F173A" w:rsidRDefault="006C1F4D" w:rsidP="00836A84">
      <w:pPr>
        <w:rPr>
          <w:lang w:val="en-GB"/>
        </w:rPr>
      </w:pPr>
      <w:r>
        <w:rPr>
          <w:noProof/>
          <w:lang w:eastAsia="it-IT"/>
        </w:rPr>
        <w:drawing>
          <wp:inline distT="0" distB="0" distL="0" distR="0" wp14:anchorId="2177EBA1" wp14:editId="16A73B95">
            <wp:extent cx="4572000" cy="3824288"/>
            <wp:effectExtent l="0" t="0" r="19050" b="241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60877" w:rsidRPr="00F56734" w:rsidRDefault="002F173A" w:rsidP="00C707AD">
      <w:pPr>
        <w:rPr>
          <w:b/>
          <w:lang w:val="en-GB"/>
        </w:rPr>
      </w:pPr>
      <w:r>
        <w:rPr>
          <w:noProof/>
          <w:lang w:eastAsia="it-IT"/>
        </w:rPr>
        <w:lastRenderedPageBreak/>
        <w:drawing>
          <wp:inline distT="0" distB="0" distL="0" distR="0" wp14:anchorId="350041B5" wp14:editId="31A44FDA">
            <wp:extent cx="3991555" cy="3347500"/>
            <wp:effectExtent l="0" t="0" r="9525" b="247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1F4D" w:rsidRDefault="006C1F4D" w:rsidP="00C707AD">
      <w:pPr>
        <w:rPr>
          <w:b/>
        </w:rPr>
      </w:pPr>
    </w:p>
    <w:p w:rsidR="00C707AD" w:rsidRPr="0090125F" w:rsidRDefault="00C707AD" w:rsidP="00C707AD">
      <w:pPr>
        <w:rPr>
          <w:b/>
        </w:rPr>
      </w:pPr>
      <w:r w:rsidRPr="0090125F">
        <w:rPr>
          <w:b/>
        </w:rPr>
        <w:t xml:space="preserve">ADAM </w:t>
      </w:r>
      <w:r w:rsidR="00602FA3" w:rsidRPr="0090125F">
        <w:rPr>
          <w:b/>
        </w:rPr>
        <w:t>RELATED FILES</w:t>
      </w:r>
    </w:p>
    <w:p w:rsidR="0090125F" w:rsidRDefault="00470A64" w:rsidP="00C707AD">
      <w:pPr>
        <w:pStyle w:val="ListParagraph"/>
        <w:numPr>
          <w:ilvl w:val="0"/>
          <w:numId w:val="1"/>
        </w:numPr>
      </w:pPr>
      <w:r>
        <w:t xml:space="preserve">DESERT </w:t>
      </w:r>
      <w:r w:rsidR="00602FA3">
        <w:t>TORTOISE</w:t>
      </w:r>
    </w:p>
    <w:p w:rsidR="0090125F" w:rsidRDefault="003C6E00" w:rsidP="0090125F">
      <w:pPr>
        <w:pStyle w:val="ListParagraph"/>
        <w:rPr>
          <w:b/>
        </w:rPr>
      </w:pPr>
      <w:r>
        <w:rPr>
          <w:b/>
        </w:rPr>
        <w:t>ADAM_</w:t>
      </w:r>
      <w:r w:rsidR="00C707AD" w:rsidRPr="0090125F">
        <w:rPr>
          <w:b/>
        </w:rPr>
        <w:t>centreline_</w:t>
      </w:r>
      <w:r w:rsidR="00470A64" w:rsidRPr="0090125F">
        <w:rPr>
          <w:b/>
        </w:rPr>
        <w:t>DT</w:t>
      </w:r>
      <w:r w:rsidR="0090125F">
        <w:rPr>
          <w:b/>
        </w:rPr>
        <w:t>1</w:t>
      </w:r>
      <w:r w:rsidR="00C707AD" w:rsidRPr="0090125F">
        <w:rPr>
          <w:b/>
        </w:rPr>
        <w:t>.csv</w:t>
      </w:r>
    </w:p>
    <w:p w:rsidR="0090125F" w:rsidRPr="0090125F" w:rsidRDefault="003C6E00" w:rsidP="0090125F">
      <w:pPr>
        <w:pStyle w:val="ListParagraph"/>
        <w:rPr>
          <w:b/>
          <w:lang w:val="it-IT"/>
        </w:rPr>
      </w:pPr>
      <w:r>
        <w:rPr>
          <w:b/>
        </w:rPr>
        <w:t>ADAM_</w:t>
      </w:r>
      <w:r w:rsidR="0090125F" w:rsidRPr="0090125F">
        <w:rPr>
          <w:b/>
          <w:lang w:val="it-IT"/>
        </w:rPr>
        <w:t>centreline_DT</w:t>
      </w:r>
      <w:r w:rsidR="0090125F">
        <w:rPr>
          <w:b/>
          <w:lang w:val="it-IT"/>
        </w:rPr>
        <w:t>2</w:t>
      </w:r>
      <w:r w:rsidR="0090125F" w:rsidRPr="0090125F">
        <w:rPr>
          <w:b/>
          <w:lang w:val="it-IT"/>
        </w:rPr>
        <w:t>.csv</w:t>
      </w:r>
    </w:p>
    <w:p w:rsidR="0090125F" w:rsidRPr="0090125F" w:rsidRDefault="003C6E00" w:rsidP="0090125F">
      <w:pPr>
        <w:pStyle w:val="ListParagraph"/>
        <w:rPr>
          <w:b/>
          <w:lang w:val="it-IT"/>
        </w:rPr>
      </w:pPr>
      <w:r>
        <w:rPr>
          <w:b/>
        </w:rPr>
        <w:t>ADAM_</w:t>
      </w:r>
      <w:r w:rsidR="0090125F" w:rsidRPr="0090125F">
        <w:rPr>
          <w:b/>
          <w:lang w:val="it-IT"/>
        </w:rPr>
        <w:t>centreline_DT</w:t>
      </w:r>
      <w:r w:rsidR="0090125F">
        <w:rPr>
          <w:b/>
          <w:lang w:val="it-IT"/>
        </w:rPr>
        <w:t>4</w:t>
      </w:r>
      <w:r w:rsidR="0090125F" w:rsidRPr="0090125F">
        <w:rPr>
          <w:b/>
          <w:lang w:val="it-IT"/>
        </w:rPr>
        <w:t>.csv</w:t>
      </w:r>
    </w:p>
    <w:p w:rsidR="00C707AD" w:rsidRDefault="0090125F" w:rsidP="0090125F">
      <w:pPr>
        <w:pStyle w:val="ListParagraph"/>
      </w:pPr>
      <w:r w:rsidRPr="0090125F">
        <w:t>These</w:t>
      </w:r>
      <w:r w:rsidRPr="0090125F">
        <w:rPr>
          <w:b/>
        </w:rPr>
        <w:t xml:space="preserve"> </w:t>
      </w:r>
      <w:r w:rsidR="00C707AD" w:rsidRPr="0090125F">
        <w:t>files contains</w:t>
      </w:r>
      <w:r w:rsidR="00470A64" w:rsidRPr="0090125F">
        <w:t xml:space="preserve"> </w:t>
      </w:r>
      <w:r w:rsidR="00261AF7">
        <w:t>semicolon</w:t>
      </w:r>
      <w:r w:rsidR="00C707AD" w:rsidRPr="0090125F">
        <w:t>-separated data with the m</w:t>
      </w:r>
      <w:r w:rsidR="00470A64" w:rsidRPr="0090125F">
        <w:t xml:space="preserve">aximum near-ground (i.e. 1 </w:t>
      </w:r>
      <w:r w:rsidR="00C707AD" w:rsidRPr="0090125F">
        <w:t>m</w:t>
      </w:r>
      <w:r w:rsidR="00261AF7">
        <w:t xml:space="preserve"> height</w:t>
      </w:r>
      <w:r w:rsidR="00C707AD" w:rsidRPr="0090125F">
        <w:t>) concentration (</w:t>
      </w:r>
      <w:proofErr w:type="spellStart"/>
      <w:r w:rsidR="00C707AD" w:rsidRPr="0090125F">
        <w:t>ppmv</w:t>
      </w:r>
      <w:proofErr w:type="spellEnd"/>
      <w:r w:rsidR="00C707AD" w:rsidRPr="0090125F">
        <w:t xml:space="preserve">) vs. downwind distance (from </w:t>
      </w:r>
      <w:r w:rsidR="00470A64" w:rsidRPr="0090125F">
        <w:t>10</w:t>
      </w:r>
      <w:r w:rsidR="00C707AD" w:rsidRPr="0090125F">
        <w:t xml:space="preserve"> to </w:t>
      </w:r>
      <w:r w:rsidR="00470A64" w:rsidRPr="0090125F">
        <w:t xml:space="preserve">1000 </w:t>
      </w:r>
      <w:r w:rsidR="00C707AD" w:rsidRPr="0090125F">
        <w:t xml:space="preserve">m). </w:t>
      </w:r>
      <w:r>
        <w:t xml:space="preserve"> Concentrations were </w:t>
      </w:r>
      <w:r w:rsidRPr="003C6E00">
        <w:rPr>
          <w:u w:val="single"/>
        </w:rPr>
        <w:t xml:space="preserve">calculated at a </w:t>
      </w:r>
      <w:r w:rsidRPr="00261AF7">
        <w:rPr>
          <w:u w:val="single"/>
        </w:rPr>
        <w:t xml:space="preserve">fixed </w:t>
      </w:r>
      <w:r w:rsidR="00261AF7" w:rsidRPr="00261AF7">
        <w:rPr>
          <w:u w:val="single"/>
        </w:rPr>
        <w:t>height</w:t>
      </w:r>
      <w:r w:rsidR="00261AF7" w:rsidRPr="00261AF7">
        <w:rPr>
          <w:u w:val="single"/>
        </w:rPr>
        <w:t xml:space="preserve"> </w:t>
      </w:r>
      <w:r w:rsidRPr="00261AF7">
        <w:rPr>
          <w:u w:val="single"/>
        </w:rPr>
        <w:t>of 1</w:t>
      </w:r>
      <w:r w:rsidRPr="003C6E00">
        <w:rPr>
          <w:u w:val="single"/>
        </w:rPr>
        <w:t xml:space="preserve"> m, </w:t>
      </w:r>
      <w:r>
        <w:t>which corresponds to the location of the sensors.</w:t>
      </w:r>
    </w:p>
    <w:p w:rsidR="003C6E00" w:rsidRDefault="003C6E00" w:rsidP="0090125F">
      <w:pPr>
        <w:pStyle w:val="ListParagraph"/>
      </w:pPr>
    </w:p>
    <w:p w:rsidR="003C6E00" w:rsidRDefault="0031427D" w:rsidP="0090125F">
      <w:pPr>
        <w:pStyle w:val="ListParagraph"/>
        <w:rPr>
          <w:b/>
        </w:rPr>
      </w:pPr>
      <w:r>
        <w:rPr>
          <w:b/>
        </w:rPr>
        <w:t>ADAM_arc_conc_</w:t>
      </w:r>
      <w:r w:rsidR="003A7A30" w:rsidRPr="003564C6">
        <w:rPr>
          <w:b/>
        </w:rPr>
        <w:t>width_DT1</w:t>
      </w:r>
      <w:r w:rsidR="003564C6" w:rsidRPr="003564C6">
        <w:rPr>
          <w:b/>
        </w:rPr>
        <w:t>.csv</w:t>
      </w:r>
    </w:p>
    <w:p w:rsidR="003564C6" w:rsidRDefault="0031427D" w:rsidP="0090125F">
      <w:pPr>
        <w:pStyle w:val="ListParagraph"/>
        <w:rPr>
          <w:b/>
        </w:rPr>
      </w:pPr>
      <w:r>
        <w:rPr>
          <w:b/>
        </w:rPr>
        <w:t>ADAM_arc_conc_</w:t>
      </w:r>
      <w:r w:rsidR="003564C6">
        <w:rPr>
          <w:b/>
        </w:rPr>
        <w:t>width_DT2</w:t>
      </w:r>
      <w:r w:rsidR="003564C6" w:rsidRPr="003564C6">
        <w:rPr>
          <w:b/>
        </w:rPr>
        <w:t>.csv</w:t>
      </w:r>
    </w:p>
    <w:p w:rsidR="003564C6" w:rsidRPr="003564C6" w:rsidRDefault="0031427D" w:rsidP="0090125F">
      <w:pPr>
        <w:pStyle w:val="ListParagraph"/>
        <w:rPr>
          <w:b/>
        </w:rPr>
      </w:pPr>
      <w:r>
        <w:rPr>
          <w:b/>
        </w:rPr>
        <w:t>ADAM_arc_conc_</w:t>
      </w:r>
      <w:r w:rsidR="003564C6">
        <w:rPr>
          <w:b/>
        </w:rPr>
        <w:t>width_DT4</w:t>
      </w:r>
      <w:r w:rsidR="003564C6" w:rsidRPr="003564C6">
        <w:rPr>
          <w:b/>
        </w:rPr>
        <w:t>.csv</w:t>
      </w:r>
    </w:p>
    <w:p w:rsidR="003C6E00" w:rsidRDefault="003564C6" w:rsidP="0090125F">
      <w:pPr>
        <w:pStyle w:val="ListParagraph"/>
      </w:pPr>
      <w:proofErr w:type="gramStart"/>
      <w:r w:rsidRPr="0090125F">
        <w:t>These</w:t>
      </w:r>
      <w:r w:rsidRPr="0090125F">
        <w:rPr>
          <w:b/>
        </w:rPr>
        <w:t xml:space="preserve"> </w:t>
      </w:r>
      <w:r w:rsidRPr="0090125F">
        <w:t>files contains</w:t>
      </w:r>
      <w:proofErr w:type="gramEnd"/>
      <w:r w:rsidRPr="0090125F">
        <w:t xml:space="preserve"> </w:t>
      </w:r>
      <w:r w:rsidRPr="003C6E00">
        <w:t xml:space="preserve">semicolon </w:t>
      </w:r>
      <w:r w:rsidRPr="0090125F">
        <w:t>-separated data with</w:t>
      </w:r>
      <w:r>
        <w:t xml:space="preserve">: </w:t>
      </w:r>
    </w:p>
    <w:p w:rsidR="003564C6" w:rsidRDefault="003564C6" w:rsidP="0090125F">
      <w:pPr>
        <w:pStyle w:val="ListParagraph"/>
      </w:pPr>
      <w:r w:rsidRPr="006D43A1">
        <w:rPr>
          <w:i/>
        </w:rPr>
        <w:t>First column</w:t>
      </w:r>
      <w:r>
        <w:t>: arc distance (i.e., 100m and 800m)</w:t>
      </w:r>
    </w:p>
    <w:p w:rsidR="003564C6" w:rsidRDefault="003564C6" w:rsidP="0090125F">
      <w:pPr>
        <w:pStyle w:val="ListParagraph"/>
      </w:pPr>
      <w:r w:rsidRPr="006D43A1">
        <w:rPr>
          <w:i/>
        </w:rPr>
        <w:t>Second column</w:t>
      </w:r>
      <w:r>
        <w:t xml:space="preserve">: </w:t>
      </w:r>
      <w:r w:rsidR="0031427D" w:rsidRPr="00602FA3">
        <w:t xml:space="preserve">maximum </w:t>
      </w:r>
      <w:r>
        <w:t xml:space="preserve">concentration at 1m height </w:t>
      </w:r>
      <w:r w:rsidR="0031427D">
        <w:t>at</w:t>
      </w:r>
      <w:r>
        <w:t xml:space="preserve"> </w:t>
      </w:r>
      <w:r w:rsidR="0031427D">
        <w:t>these</w:t>
      </w:r>
      <w:r>
        <w:t xml:space="preserve"> arc distance</w:t>
      </w:r>
      <w:r w:rsidR="0031427D">
        <w:t>s</w:t>
      </w:r>
    </w:p>
    <w:p w:rsidR="003564C6" w:rsidRDefault="003564C6" w:rsidP="003564C6">
      <w:pPr>
        <w:pStyle w:val="ListParagraph"/>
      </w:pPr>
      <w:r w:rsidRPr="006D43A1">
        <w:rPr>
          <w:i/>
        </w:rPr>
        <w:t>Third column</w:t>
      </w:r>
      <w:r>
        <w:t xml:space="preserve">: </w:t>
      </w:r>
      <w:r>
        <w:t xml:space="preserve">plume width, </w:t>
      </w:r>
      <w:r>
        <w:rPr>
          <w:rFonts w:ascii="Cambria Math" w:hAnsi="Cambria Math" w:cs="Cambria Math"/>
        </w:rPr>
        <w:t>𝜎𝑦</w:t>
      </w:r>
      <w:r>
        <w:t xml:space="preserve">, from the moments of the concentration distribution across the </w:t>
      </w:r>
    </w:p>
    <w:p w:rsidR="003564C6" w:rsidRDefault="003564C6" w:rsidP="003564C6">
      <w:pPr>
        <w:pStyle w:val="ListParagraph"/>
      </w:pPr>
      <w:proofErr w:type="gramStart"/>
      <w:r>
        <w:t>arc</w:t>
      </w:r>
      <w:proofErr w:type="gramEnd"/>
      <w:r>
        <w:t xml:space="preserve"> of sensors (</w:t>
      </w:r>
      <w:r>
        <w:t>CERC, 2000)</w:t>
      </w:r>
      <w:r w:rsidR="0031427D" w:rsidRPr="0031427D">
        <w:t xml:space="preserve"> </w:t>
      </w:r>
      <w:r w:rsidR="0031427D">
        <w:t>at these arc distances</w:t>
      </w:r>
    </w:p>
    <w:p w:rsidR="003C6E00" w:rsidRDefault="003C6E00" w:rsidP="0090125F">
      <w:pPr>
        <w:pStyle w:val="ListParagraph"/>
      </w:pPr>
    </w:p>
    <w:p w:rsidR="003C6E00" w:rsidRDefault="003C6E00" w:rsidP="003C6E00">
      <w:pPr>
        <w:pStyle w:val="ListParagraph"/>
        <w:numPr>
          <w:ilvl w:val="0"/>
          <w:numId w:val="1"/>
        </w:numPr>
      </w:pPr>
      <w:r>
        <w:t>FLADIS</w:t>
      </w:r>
    </w:p>
    <w:p w:rsidR="003C6E00" w:rsidRDefault="003C6E00" w:rsidP="003C6E00">
      <w:pPr>
        <w:pStyle w:val="ListParagraph"/>
        <w:rPr>
          <w:b/>
        </w:rPr>
      </w:pPr>
      <w:r>
        <w:rPr>
          <w:b/>
        </w:rPr>
        <w:t>ADAM_</w:t>
      </w:r>
      <w:r w:rsidRPr="0090125F">
        <w:rPr>
          <w:b/>
        </w:rPr>
        <w:t>centreline_</w:t>
      </w:r>
      <w:r>
        <w:rPr>
          <w:b/>
        </w:rPr>
        <w:t>FLADIS09</w:t>
      </w:r>
      <w:r w:rsidRPr="0090125F">
        <w:rPr>
          <w:b/>
        </w:rPr>
        <w:t>.csv</w:t>
      </w:r>
    </w:p>
    <w:p w:rsidR="003C6E00" w:rsidRPr="0090125F" w:rsidRDefault="003C6E00" w:rsidP="003C6E00">
      <w:pPr>
        <w:pStyle w:val="ListParagraph"/>
        <w:rPr>
          <w:b/>
          <w:lang w:val="it-IT"/>
        </w:rPr>
      </w:pPr>
      <w:r>
        <w:rPr>
          <w:b/>
        </w:rPr>
        <w:t>ADAM_</w:t>
      </w:r>
      <w:r w:rsidRPr="0090125F">
        <w:rPr>
          <w:b/>
          <w:lang w:val="it-IT"/>
        </w:rPr>
        <w:t>centreline_</w:t>
      </w:r>
      <w:r w:rsidRPr="003C6E00">
        <w:rPr>
          <w:b/>
        </w:rPr>
        <w:t xml:space="preserve"> </w:t>
      </w:r>
      <w:r>
        <w:rPr>
          <w:b/>
        </w:rPr>
        <w:t>FLADIS</w:t>
      </w:r>
      <w:r>
        <w:rPr>
          <w:b/>
        </w:rPr>
        <w:t>16</w:t>
      </w:r>
      <w:r w:rsidRPr="0090125F">
        <w:rPr>
          <w:b/>
          <w:lang w:val="it-IT"/>
        </w:rPr>
        <w:t>.csv</w:t>
      </w:r>
    </w:p>
    <w:p w:rsidR="003C6E00" w:rsidRPr="0090125F" w:rsidRDefault="003C6E00" w:rsidP="003C6E00">
      <w:pPr>
        <w:pStyle w:val="ListParagraph"/>
        <w:rPr>
          <w:b/>
          <w:lang w:val="it-IT"/>
        </w:rPr>
      </w:pPr>
      <w:r>
        <w:rPr>
          <w:b/>
        </w:rPr>
        <w:t>ADAM_</w:t>
      </w:r>
      <w:r w:rsidRPr="0090125F">
        <w:rPr>
          <w:b/>
          <w:lang w:val="it-IT"/>
        </w:rPr>
        <w:t>centreline_</w:t>
      </w:r>
      <w:r w:rsidRPr="003C6E00">
        <w:rPr>
          <w:b/>
        </w:rPr>
        <w:t xml:space="preserve"> </w:t>
      </w:r>
      <w:r>
        <w:rPr>
          <w:b/>
        </w:rPr>
        <w:t>FLADIS</w:t>
      </w:r>
      <w:r>
        <w:rPr>
          <w:b/>
        </w:rPr>
        <w:t>24.</w:t>
      </w:r>
      <w:r w:rsidRPr="0090125F">
        <w:rPr>
          <w:b/>
          <w:lang w:val="it-IT"/>
        </w:rPr>
        <w:t>csv</w:t>
      </w:r>
    </w:p>
    <w:p w:rsidR="003C6E00" w:rsidRDefault="003C6E00" w:rsidP="003C6E00">
      <w:pPr>
        <w:pStyle w:val="ListParagraph"/>
      </w:pPr>
      <w:r w:rsidRPr="0090125F">
        <w:t>These</w:t>
      </w:r>
      <w:r w:rsidRPr="0090125F">
        <w:rPr>
          <w:b/>
        </w:rPr>
        <w:t xml:space="preserve"> </w:t>
      </w:r>
      <w:r w:rsidRPr="0090125F">
        <w:t xml:space="preserve">files contains </w:t>
      </w:r>
      <w:r w:rsidR="00261AF7">
        <w:t>semicolon</w:t>
      </w:r>
      <w:bookmarkStart w:id="0" w:name="_GoBack"/>
      <w:bookmarkEnd w:id="0"/>
      <w:r w:rsidRPr="0090125F">
        <w:t xml:space="preserve">-separated data with the maximum near-ground (i.e. 1 m </w:t>
      </w:r>
      <w:r w:rsidR="00261AF7">
        <w:t>height</w:t>
      </w:r>
      <w:r w:rsidRPr="0090125F">
        <w:t>) concentration (</w:t>
      </w:r>
      <w:proofErr w:type="spellStart"/>
      <w:r w:rsidRPr="0090125F">
        <w:t>ppmv</w:t>
      </w:r>
      <w:proofErr w:type="spellEnd"/>
      <w:r w:rsidRPr="0090125F">
        <w:t xml:space="preserve">) vs. downwind distance (from 10 to 1000 m). </w:t>
      </w:r>
      <w:r>
        <w:t xml:space="preserve"> Concentrations were c</w:t>
      </w:r>
      <w:r w:rsidRPr="003C6E00">
        <w:rPr>
          <w:u w:val="single"/>
        </w:rPr>
        <w:t xml:space="preserve">alculated at a fixed </w:t>
      </w:r>
      <w:r w:rsidR="00261AF7" w:rsidRPr="00261AF7">
        <w:rPr>
          <w:u w:val="single"/>
        </w:rPr>
        <w:t xml:space="preserve">height </w:t>
      </w:r>
      <w:r w:rsidRPr="003C6E00">
        <w:rPr>
          <w:u w:val="single"/>
        </w:rPr>
        <w:t>of 1 m</w:t>
      </w:r>
      <w:r>
        <w:t xml:space="preserve">, which </w:t>
      </w:r>
      <w:r>
        <w:t>is in between the</w:t>
      </w:r>
      <w:r>
        <w:t xml:space="preserve"> location of the sensors</w:t>
      </w:r>
      <w:r>
        <w:t xml:space="preserve"> for the different arc-distances (i.e., 0.1, 0.5, </w:t>
      </w:r>
      <w:proofErr w:type="gramStart"/>
      <w:r>
        <w:t>1.5</w:t>
      </w:r>
      <w:proofErr w:type="gramEnd"/>
      <w:r>
        <w:t>)</w:t>
      </w:r>
      <w:r>
        <w:t>.</w:t>
      </w:r>
    </w:p>
    <w:p w:rsidR="003C6E00" w:rsidRDefault="003C6E00" w:rsidP="0090125F">
      <w:pPr>
        <w:pStyle w:val="ListParagraph"/>
      </w:pPr>
    </w:p>
    <w:p w:rsidR="003564C6" w:rsidRDefault="0031427D" w:rsidP="003564C6">
      <w:pPr>
        <w:pStyle w:val="ListParagraph"/>
        <w:rPr>
          <w:b/>
        </w:rPr>
      </w:pPr>
      <w:proofErr w:type="spellStart"/>
      <w:r>
        <w:rPr>
          <w:b/>
        </w:rPr>
        <w:lastRenderedPageBreak/>
        <w:t>ADAM_arc_conc_</w:t>
      </w:r>
      <w:r w:rsidR="003564C6" w:rsidRPr="003564C6">
        <w:rPr>
          <w:b/>
        </w:rPr>
        <w:t>width</w:t>
      </w:r>
      <w:proofErr w:type="spellEnd"/>
      <w:r w:rsidR="003564C6" w:rsidRPr="003564C6">
        <w:rPr>
          <w:b/>
        </w:rPr>
        <w:t>_</w:t>
      </w:r>
      <w:r w:rsidR="003564C6" w:rsidRPr="003564C6">
        <w:rPr>
          <w:b/>
        </w:rPr>
        <w:t xml:space="preserve"> </w:t>
      </w:r>
      <w:r w:rsidR="003564C6">
        <w:rPr>
          <w:b/>
        </w:rPr>
        <w:t>FLADIS09</w:t>
      </w:r>
      <w:r w:rsidR="003564C6" w:rsidRPr="003564C6">
        <w:rPr>
          <w:b/>
        </w:rPr>
        <w:t>.csv</w:t>
      </w:r>
    </w:p>
    <w:p w:rsidR="003564C6" w:rsidRDefault="0031427D" w:rsidP="003564C6">
      <w:pPr>
        <w:pStyle w:val="ListParagraph"/>
        <w:rPr>
          <w:b/>
        </w:rPr>
      </w:pPr>
      <w:proofErr w:type="spellStart"/>
      <w:r>
        <w:rPr>
          <w:b/>
        </w:rPr>
        <w:t>ADAM_arc_conc_</w:t>
      </w:r>
      <w:r w:rsidR="003564C6">
        <w:rPr>
          <w:b/>
        </w:rPr>
        <w:t>width</w:t>
      </w:r>
      <w:proofErr w:type="spellEnd"/>
      <w:r w:rsidR="003564C6">
        <w:rPr>
          <w:b/>
        </w:rPr>
        <w:t>_</w:t>
      </w:r>
      <w:r w:rsidR="003564C6" w:rsidRPr="003564C6">
        <w:rPr>
          <w:b/>
        </w:rPr>
        <w:t xml:space="preserve"> </w:t>
      </w:r>
      <w:r w:rsidR="003564C6">
        <w:rPr>
          <w:b/>
        </w:rPr>
        <w:t>FLADIS16</w:t>
      </w:r>
      <w:r w:rsidR="003564C6" w:rsidRPr="003564C6">
        <w:rPr>
          <w:b/>
        </w:rPr>
        <w:t>.csv</w:t>
      </w:r>
    </w:p>
    <w:p w:rsidR="003564C6" w:rsidRPr="003564C6" w:rsidRDefault="0031427D" w:rsidP="003564C6">
      <w:pPr>
        <w:pStyle w:val="ListParagraph"/>
        <w:rPr>
          <w:b/>
        </w:rPr>
      </w:pPr>
      <w:proofErr w:type="spellStart"/>
      <w:r>
        <w:rPr>
          <w:b/>
        </w:rPr>
        <w:t>ADAM_arc_conc_</w:t>
      </w:r>
      <w:r w:rsidR="003564C6">
        <w:rPr>
          <w:b/>
        </w:rPr>
        <w:t>width</w:t>
      </w:r>
      <w:proofErr w:type="spellEnd"/>
      <w:r w:rsidR="003564C6">
        <w:rPr>
          <w:b/>
        </w:rPr>
        <w:t>_</w:t>
      </w:r>
      <w:r w:rsidR="003564C6" w:rsidRPr="003564C6">
        <w:rPr>
          <w:b/>
        </w:rPr>
        <w:t xml:space="preserve"> </w:t>
      </w:r>
      <w:r w:rsidR="003564C6">
        <w:rPr>
          <w:b/>
        </w:rPr>
        <w:t>FLADIS</w:t>
      </w:r>
      <w:r w:rsidR="003564C6">
        <w:rPr>
          <w:b/>
        </w:rPr>
        <w:t>24</w:t>
      </w:r>
      <w:r w:rsidR="003564C6" w:rsidRPr="003564C6">
        <w:rPr>
          <w:b/>
        </w:rPr>
        <w:t>.csv</w:t>
      </w:r>
    </w:p>
    <w:p w:rsidR="0031427D" w:rsidRDefault="0031427D" w:rsidP="0031427D">
      <w:pPr>
        <w:pStyle w:val="ListParagraph"/>
      </w:pPr>
      <w:r w:rsidRPr="006D43A1">
        <w:rPr>
          <w:i/>
        </w:rPr>
        <w:t>First column</w:t>
      </w:r>
      <w:r>
        <w:t xml:space="preserve">: arc distance (i.e., </w:t>
      </w:r>
      <w:r>
        <w:t>2</w:t>
      </w:r>
      <w:r>
        <w:t>0m</w:t>
      </w:r>
      <w:r>
        <w:t xml:space="preserve">, 70m </w:t>
      </w:r>
      <w:r>
        <w:t xml:space="preserve">and </w:t>
      </w:r>
      <w:r>
        <w:t>238</w:t>
      </w:r>
      <w:r>
        <w:t>m)</w:t>
      </w:r>
    </w:p>
    <w:p w:rsidR="0031427D" w:rsidRPr="0031427D" w:rsidRDefault="0031427D" w:rsidP="0031427D">
      <w:pPr>
        <w:pStyle w:val="ListParagraph"/>
      </w:pPr>
      <w:r w:rsidRPr="006D43A1">
        <w:rPr>
          <w:i/>
        </w:rPr>
        <w:t>Second column</w:t>
      </w:r>
      <w:r>
        <w:t xml:space="preserve">: </w:t>
      </w:r>
      <w:r w:rsidRPr="00602FA3">
        <w:t xml:space="preserve">maximum </w:t>
      </w:r>
      <w:r>
        <w:t>concentration at</w:t>
      </w:r>
      <w:r>
        <w:t xml:space="preserve"> heights: </w:t>
      </w:r>
      <w:r>
        <w:t xml:space="preserve"> </w:t>
      </w:r>
      <w:r>
        <w:t>0.</w:t>
      </w:r>
      <w:r>
        <w:t>1m</w:t>
      </w:r>
      <w:r>
        <w:t xml:space="preserve"> (for arc 20m), 0.5m (for arc 70m) and 1.5m (for arc 238m) </w:t>
      </w:r>
    </w:p>
    <w:p w:rsidR="0031427D" w:rsidRDefault="0031427D" w:rsidP="0031427D">
      <w:pPr>
        <w:pStyle w:val="ListParagraph"/>
      </w:pPr>
      <w:r w:rsidRPr="006D43A1">
        <w:rPr>
          <w:i/>
        </w:rPr>
        <w:t>Third column</w:t>
      </w:r>
      <w:r>
        <w:t xml:space="preserve">: plume width, </w:t>
      </w:r>
      <w:r>
        <w:rPr>
          <w:rFonts w:ascii="Cambria Math" w:hAnsi="Cambria Math" w:cs="Cambria Math"/>
        </w:rPr>
        <w:t>𝜎𝑦</w:t>
      </w:r>
      <w:r>
        <w:t xml:space="preserve">, from the moments of the concentration distribution across the </w:t>
      </w:r>
    </w:p>
    <w:p w:rsidR="0031427D" w:rsidRDefault="0031427D" w:rsidP="0031427D">
      <w:pPr>
        <w:pStyle w:val="ListParagraph"/>
      </w:pPr>
      <w:proofErr w:type="gramStart"/>
      <w:r>
        <w:t>arc</w:t>
      </w:r>
      <w:proofErr w:type="gramEnd"/>
      <w:r>
        <w:t xml:space="preserve"> of sensors (CERC, 2000)</w:t>
      </w:r>
      <w:r>
        <w:t xml:space="preserve"> </w:t>
      </w:r>
      <w:r>
        <w:t>at these arc distances</w:t>
      </w:r>
    </w:p>
    <w:p w:rsidR="006C1F4D" w:rsidRDefault="006C1F4D" w:rsidP="00B52230">
      <w:pPr>
        <w:rPr>
          <w:b/>
          <w:lang w:val="en-GB"/>
        </w:rPr>
      </w:pPr>
    </w:p>
    <w:p w:rsidR="00B52230" w:rsidRPr="008A3EAD" w:rsidRDefault="00C707AD" w:rsidP="00B52230">
      <w:pPr>
        <w:rPr>
          <w:b/>
          <w:sz w:val="18"/>
          <w:szCs w:val="18"/>
          <w:lang w:val="en-GB"/>
        </w:rPr>
      </w:pPr>
      <w:r w:rsidRPr="008A3EAD">
        <w:rPr>
          <w:b/>
          <w:lang w:val="en-GB"/>
        </w:rPr>
        <w:t>References</w:t>
      </w:r>
    </w:p>
    <w:p w:rsidR="00B52230" w:rsidRDefault="00B52230" w:rsidP="00B52230">
      <w:pPr>
        <w:rPr>
          <w:lang w:val="en-GB"/>
        </w:rPr>
      </w:pPr>
      <w:r>
        <w:rPr>
          <w:lang w:val="en-GB"/>
        </w:rPr>
        <w:t xml:space="preserve">[1] </w:t>
      </w:r>
      <w:r w:rsidRPr="00B52230">
        <w:rPr>
          <w:lang w:val="en-GB"/>
        </w:rPr>
        <w:t xml:space="preserve">2017. Commission Decision of 29.8.2017 Regarding the Distribution of the Software Accident Damage Analysis Module (ADAM). </w:t>
      </w:r>
      <w:proofErr w:type="gramStart"/>
      <w:r w:rsidRPr="00B52230">
        <w:rPr>
          <w:lang w:val="en-GB"/>
        </w:rPr>
        <w:t>Brussels, 29.8.2017 C 6012 final.</w:t>
      </w:r>
      <w:proofErr w:type="gramEnd"/>
      <w:r w:rsidRPr="00B52230">
        <w:rPr>
          <w:lang w:val="en-GB"/>
        </w:rPr>
        <w:t xml:space="preserve"> </w:t>
      </w:r>
    </w:p>
    <w:p w:rsidR="00B52230" w:rsidRPr="00B52230" w:rsidRDefault="00B52230" w:rsidP="00B52230">
      <w:pPr>
        <w:rPr>
          <w:lang w:val="en-GB"/>
        </w:rPr>
      </w:pPr>
      <w:r>
        <w:rPr>
          <w:lang w:val="en-GB"/>
        </w:rPr>
        <w:t>[</w:t>
      </w:r>
      <w:r>
        <w:rPr>
          <w:lang w:val="en-GB"/>
        </w:rPr>
        <w:t>2</w:t>
      </w:r>
      <w:r>
        <w:rPr>
          <w:lang w:val="en-GB"/>
        </w:rPr>
        <w:t xml:space="preserve">] </w:t>
      </w:r>
      <w:proofErr w:type="spellStart"/>
      <w:r w:rsidRPr="00B52230">
        <w:rPr>
          <w:lang w:val="en-GB"/>
        </w:rPr>
        <w:t>Fabbri</w:t>
      </w:r>
      <w:proofErr w:type="spellEnd"/>
      <w:r w:rsidRPr="00B52230">
        <w:rPr>
          <w:lang w:val="en-GB"/>
        </w:rPr>
        <w:t xml:space="preserve">, L </w:t>
      </w:r>
      <w:proofErr w:type="spellStart"/>
      <w:r w:rsidRPr="00B52230">
        <w:rPr>
          <w:lang w:val="en-GB"/>
        </w:rPr>
        <w:t>Binda</w:t>
      </w:r>
      <w:proofErr w:type="spellEnd"/>
      <w:r w:rsidRPr="00B52230">
        <w:rPr>
          <w:lang w:val="en-GB"/>
        </w:rPr>
        <w:t xml:space="preserve">, M </w:t>
      </w:r>
      <w:proofErr w:type="spellStart"/>
      <w:r w:rsidRPr="00B52230">
        <w:rPr>
          <w:lang w:val="en-GB"/>
        </w:rPr>
        <w:t>Bruinen</w:t>
      </w:r>
      <w:proofErr w:type="spellEnd"/>
      <w:r w:rsidRPr="00B52230">
        <w:rPr>
          <w:lang w:val="en-GB"/>
        </w:rPr>
        <w:t xml:space="preserve"> de Bruin, Y; Accident Damage Analysis Module (ADAM) – Technical Guidance, EUR 28732 EN, Publications Office of the European Union, Luxembourg, 2017, ISBN 978-92-79-71879-3,</w:t>
      </w:r>
      <w:r w:rsidRPr="00B52230">
        <w:rPr>
          <w:lang w:val="en-GB"/>
        </w:rPr>
        <w:t xml:space="preserve"> </w:t>
      </w:r>
      <w:proofErr w:type="spellStart"/>
      <w:r w:rsidRPr="00B52230">
        <w:rPr>
          <w:lang w:val="en-GB"/>
        </w:rPr>
        <w:t>doi</w:t>
      </w:r>
      <w:proofErr w:type="spellEnd"/>
      <w:r w:rsidRPr="00B52230">
        <w:rPr>
          <w:lang w:val="en-GB"/>
        </w:rPr>
        <w:t xml:space="preserve"> 10.2760/719457, JRC107633.</w:t>
      </w:r>
    </w:p>
    <w:p w:rsidR="00B52230" w:rsidRPr="00B52230" w:rsidRDefault="00B52230" w:rsidP="00B52230">
      <w:pPr>
        <w:rPr>
          <w:lang w:val="en-GB"/>
        </w:rPr>
      </w:pPr>
      <w:r>
        <w:rPr>
          <w:lang w:val="en-GB"/>
        </w:rPr>
        <w:t>[</w:t>
      </w:r>
      <w:r>
        <w:rPr>
          <w:lang w:val="en-GB"/>
        </w:rPr>
        <w:t>3</w:t>
      </w:r>
      <w:r>
        <w:rPr>
          <w:lang w:val="en-GB"/>
        </w:rPr>
        <w:t xml:space="preserve">] </w:t>
      </w:r>
      <w:proofErr w:type="spellStart"/>
      <w:r w:rsidRPr="00B52230">
        <w:rPr>
          <w:lang w:val="en-GB"/>
        </w:rPr>
        <w:t>Fabbri</w:t>
      </w:r>
      <w:proofErr w:type="spellEnd"/>
      <w:r w:rsidRPr="00B52230">
        <w:rPr>
          <w:lang w:val="en-GB"/>
        </w:rPr>
        <w:t xml:space="preserve">, L </w:t>
      </w:r>
      <w:proofErr w:type="spellStart"/>
      <w:r w:rsidRPr="00B52230">
        <w:rPr>
          <w:lang w:val="en-GB"/>
        </w:rPr>
        <w:t>Binda</w:t>
      </w:r>
      <w:proofErr w:type="spellEnd"/>
      <w:r w:rsidRPr="00B52230">
        <w:rPr>
          <w:lang w:val="en-GB"/>
        </w:rPr>
        <w:t>, M and Wood, M; Evaluation of the Accident Damage Analysis Module (ADAM) tool - Verification and Validation of the implemented models in ADAM for Consequence Analysis, EUR 29363 EN, Publications Office of the European Union, Luxembourg, 2018, ISBN 978-92-79-94668-4,</w:t>
      </w:r>
      <w:r w:rsidRPr="00B52230">
        <w:rPr>
          <w:lang w:val="en-GB"/>
        </w:rPr>
        <w:t xml:space="preserve"> doi:10.2760/582513, JRC113187.</w:t>
      </w:r>
    </w:p>
    <w:p w:rsidR="00B52230" w:rsidRPr="00B52230" w:rsidRDefault="00B52230" w:rsidP="00B52230">
      <w:pPr>
        <w:rPr>
          <w:lang w:val="en-GB"/>
        </w:rPr>
      </w:pPr>
      <w:r>
        <w:rPr>
          <w:lang w:val="en-GB"/>
        </w:rPr>
        <w:t>[</w:t>
      </w:r>
      <w:r>
        <w:rPr>
          <w:lang w:val="en-GB"/>
        </w:rPr>
        <w:t>4</w:t>
      </w:r>
      <w:r>
        <w:rPr>
          <w:lang w:val="en-GB"/>
        </w:rPr>
        <w:t xml:space="preserve">] </w:t>
      </w:r>
      <w:proofErr w:type="spellStart"/>
      <w:r w:rsidRPr="00B52230">
        <w:rPr>
          <w:lang w:val="en-GB"/>
        </w:rPr>
        <w:t>Fabbri</w:t>
      </w:r>
      <w:proofErr w:type="spellEnd"/>
      <w:r w:rsidRPr="00B52230">
        <w:rPr>
          <w:lang w:val="en-GB"/>
        </w:rPr>
        <w:t>, L and Wood, M; Accident Damage Analysis Module (ADAM): Novel European Commission tool for consequence assessment—Scientific evaluation of performance. Process Safety and Environmental Protection, Volume 129,</w:t>
      </w:r>
      <w:r>
        <w:rPr>
          <w:lang w:val="en-GB"/>
        </w:rPr>
        <w:t xml:space="preserve"> September 2019, Pages 249-263.</w:t>
      </w:r>
    </w:p>
    <w:p w:rsidR="00B52230" w:rsidRDefault="00B52230" w:rsidP="00B52230">
      <w:pPr>
        <w:rPr>
          <w:lang w:val="en-GB"/>
        </w:rPr>
      </w:pPr>
      <w:r>
        <w:rPr>
          <w:lang w:val="en-GB"/>
        </w:rPr>
        <w:t>[</w:t>
      </w:r>
      <w:r>
        <w:rPr>
          <w:lang w:val="en-GB"/>
        </w:rPr>
        <w:t>5</w:t>
      </w:r>
      <w:r>
        <w:rPr>
          <w:lang w:val="en-GB"/>
        </w:rPr>
        <w:t xml:space="preserve">] </w:t>
      </w:r>
      <w:proofErr w:type="spellStart"/>
      <w:r w:rsidRPr="00B52230">
        <w:rPr>
          <w:lang w:val="en-GB"/>
        </w:rPr>
        <w:t>Fabbri</w:t>
      </w:r>
      <w:proofErr w:type="spellEnd"/>
      <w:r w:rsidRPr="00B52230">
        <w:rPr>
          <w:lang w:val="en-GB"/>
        </w:rPr>
        <w:t xml:space="preserve">, L Wood, M </w:t>
      </w:r>
      <w:proofErr w:type="spellStart"/>
      <w:r w:rsidRPr="00B52230">
        <w:rPr>
          <w:lang w:val="en-GB"/>
        </w:rPr>
        <w:t>Azzini</w:t>
      </w:r>
      <w:proofErr w:type="spellEnd"/>
      <w:r w:rsidRPr="00B52230">
        <w:rPr>
          <w:lang w:val="en-GB"/>
        </w:rPr>
        <w:t xml:space="preserve">, I </w:t>
      </w:r>
      <w:proofErr w:type="spellStart"/>
      <w:r w:rsidRPr="00B52230">
        <w:rPr>
          <w:lang w:val="en-GB"/>
        </w:rPr>
        <w:t>Rosati</w:t>
      </w:r>
      <w:proofErr w:type="spellEnd"/>
      <w:r w:rsidRPr="00B52230">
        <w:rPr>
          <w:lang w:val="en-GB"/>
        </w:rPr>
        <w:t xml:space="preserve">, R; Global sensitivity analysis of the ADAM dispersion module: Jack Rabbit II test case. Atmospheric Environment, Volume 240 (2020) 117586  </w:t>
      </w:r>
    </w:p>
    <w:p w:rsidR="000F78B1" w:rsidRPr="000F78B1" w:rsidRDefault="000F78B1" w:rsidP="000F78B1">
      <w:pPr>
        <w:rPr>
          <w:lang w:val="en-GB"/>
        </w:rPr>
      </w:pPr>
      <w:r>
        <w:rPr>
          <w:lang w:val="en-GB"/>
        </w:rPr>
        <w:t>[</w:t>
      </w:r>
      <w:r>
        <w:rPr>
          <w:lang w:val="en-GB"/>
        </w:rPr>
        <w:t>6</w:t>
      </w:r>
      <w:r>
        <w:rPr>
          <w:lang w:val="en-GB"/>
        </w:rPr>
        <w:t xml:space="preserve">] </w:t>
      </w:r>
      <w:proofErr w:type="spellStart"/>
      <w:r w:rsidRPr="000F78B1">
        <w:rPr>
          <w:lang w:val="en-GB"/>
        </w:rPr>
        <w:t>Ermak</w:t>
      </w:r>
      <w:proofErr w:type="spellEnd"/>
      <w:r w:rsidRPr="000F78B1">
        <w:rPr>
          <w:lang w:val="en-GB"/>
        </w:rPr>
        <w:t xml:space="preserve"> D.L., (1990), “User’s manual for SLAB: an atmospheric dispersion model for denser-than-air releases”, Lawrence Livermore National Laboratory, Livermore, California, UCRL-MA-105607</w:t>
      </w:r>
    </w:p>
    <w:p w:rsidR="000F78B1" w:rsidRPr="00B52230" w:rsidRDefault="000F78B1" w:rsidP="00B52230">
      <w:pPr>
        <w:rPr>
          <w:lang w:val="en-GB"/>
        </w:rPr>
      </w:pPr>
    </w:p>
    <w:p w:rsidR="00470A64" w:rsidRPr="00C707AD" w:rsidRDefault="00470A64" w:rsidP="0090125F">
      <w:pPr>
        <w:rPr>
          <w:lang w:val="en-GB"/>
        </w:rPr>
      </w:pPr>
    </w:p>
    <w:sectPr w:rsidR="00470A64" w:rsidRPr="00C707AD">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C73" w:rsidRDefault="007D2C73" w:rsidP="006C1F4D">
      <w:pPr>
        <w:spacing w:after="0" w:line="240" w:lineRule="auto"/>
      </w:pPr>
      <w:r>
        <w:separator/>
      </w:r>
    </w:p>
  </w:endnote>
  <w:endnote w:type="continuationSeparator" w:id="0">
    <w:p w:rsidR="007D2C73" w:rsidRDefault="007D2C73" w:rsidP="006C1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560084"/>
      <w:docPartObj>
        <w:docPartGallery w:val="Page Numbers (Bottom of Page)"/>
        <w:docPartUnique/>
      </w:docPartObj>
    </w:sdtPr>
    <w:sdtContent>
      <w:p w:rsidR="006C1F4D" w:rsidRDefault="006C1F4D">
        <w:pPr>
          <w:pStyle w:val="Footer"/>
          <w:jc w:val="right"/>
        </w:pPr>
        <w:r>
          <w:t xml:space="preserve">Page | </w:t>
        </w:r>
        <w:r>
          <w:fldChar w:fldCharType="begin"/>
        </w:r>
        <w:r>
          <w:instrText xml:space="preserve"> PAGE   \* MERGEFORMAT </w:instrText>
        </w:r>
        <w:r>
          <w:fldChar w:fldCharType="separate"/>
        </w:r>
        <w:r w:rsidR="00261AF7">
          <w:rPr>
            <w:noProof/>
          </w:rPr>
          <w:t>1</w:t>
        </w:r>
        <w:r>
          <w:rPr>
            <w:noProof/>
          </w:rPr>
          <w:fldChar w:fldCharType="end"/>
        </w:r>
        <w:r>
          <w:t xml:space="preserve"> </w:t>
        </w:r>
      </w:p>
    </w:sdtContent>
  </w:sdt>
  <w:p w:rsidR="006C1F4D" w:rsidRDefault="006C1F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C73" w:rsidRDefault="007D2C73" w:rsidP="006C1F4D">
      <w:pPr>
        <w:spacing w:after="0" w:line="240" w:lineRule="auto"/>
      </w:pPr>
      <w:r>
        <w:separator/>
      </w:r>
    </w:p>
  </w:footnote>
  <w:footnote w:type="continuationSeparator" w:id="0">
    <w:p w:rsidR="007D2C73" w:rsidRDefault="007D2C73" w:rsidP="006C1F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F1CBE"/>
    <w:multiLevelType w:val="hybridMultilevel"/>
    <w:tmpl w:val="AD3697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21B5987"/>
    <w:multiLevelType w:val="hybridMultilevel"/>
    <w:tmpl w:val="3EB897BC"/>
    <w:lvl w:ilvl="0" w:tplc="FD7C4876">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6FF659F"/>
    <w:multiLevelType w:val="hybridMultilevel"/>
    <w:tmpl w:val="713211A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F622F83"/>
    <w:multiLevelType w:val="hybridMultilevel"/>
    <w:tmpl w:val="F4A62112"/>
    <w:lvl w:ilvl="0" w:tplc="CD08606C">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F36"/>
    <w:rsid w:val="00036B1F"/>
    <w:rsid w:val="000D3D1B"/>
    <w:rsid w:val="000F78B1"/>
    <w:rsid w:val="00261AF7"/>
    <w:rsid w:val="002A696E"/>
    <w:rsid w:val="002F173A"/>
    <w:rsid w:val="00306C62"/>
    <w:rsid w:val="0031427D"/>
    <w:rsid w:val="003564C6"/>
    <w:rsid w:val="003A7A30"/>
    <w:rsid w:val="003C6E00"/>
    <w:rsid w:val="00432787"/>
    <w:rsid w:val="00470A64"/>
    <w:rsid w:val="00602FA3"/>
    <w:rsid w:val="006C1F4D"/>
    <w:rsid w:val="006D43A1"/>
    <w:rsid w:val="00782AFC"/>
    <w:rsid w:val="007D2C73"/>
    <w:rsid w:val="007F3F6C"/>
    <w:rsid w:val="00836A84"/>
    <w:rsid w:val="008A3EAD"/>
    <w:rsid w:val="0090125F"/>
    <w:rsid w:val="0092531D"/>
    <w:rsid w:val="00931CEE"/>
    <w:rsid w:val="009E66EA"/>
    <w:rsid w:val="00B52230"/>
    <w:rsid w:val="00B954EA"/>
    <w:rsid w:val="00BA579B"/>
    <w:rsid w:val="00C707AD"/>
    <w:rsid w:val="00CF1F36"/>
    <w:rsid w:val="00D60877"/>
    <w:rsid w:val="00EC194E"/>
    <w:rsid w:val="00F567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7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7AD"/>
    <w:pPr>
      <w:spacing w:after="160" w:line="259" w:lineRule="auto"/>
      <w:ind w:left="720"/>
      <w:contextualSpacing/>
    </w:pPr>
    <w:rPr>
      <w:lang w:val="en-GB"/>
    </w:rPr>
  </w:style>
  <w:style w:type="paragraph" w:styleId="BalloonText">
    <w:name w:val="Balloon Text"/>
    <w:basedOn w:val="Normal"/>
    <w:link w:val="BalloonTextChar"/>
    <w:uiPriority w:val="99"/>
    <w:semiHidden/>
    <w:unhideWhenUsed/>
    <w:rsid w:val="002F17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73A"/>
    <w:rPr>
      <w:rFonts w:ascii="Tahoma" w:hAnsi="Tahoma" w:cs="Tahoma"/>
      <w:sz w:val="16"/>
      <w:szCs w:val="16"/>
    </w:rPr>
  </w:style>
  <w:style w:type="paragraph" w:styleId="Header">
    <w:name w:val="header"/>
    <w:basedOn w:val="Normal"/>
    <w:link w:val="HeaderChar"/>
    <w:uiPriority w:val="99"/>
    <w:unhideWhenUsed/>
    <w:rsid w:val="006C1F4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C1F4D"/>
  </w:style>
  <w:style w:type="paragraph" w:styleId="Footer">
    <w:name w:val="footer"/>
    <w:basedOn w:val="Normal"/>
    <w:link w:val="FooterChar"/>
    <w:uiPriority w:val="99"/>
    <w:unhideWhenUsed/>
    <w:rsid w:val="006C1F4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C1F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7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7AD"/>
    <w:pPr>
      <w:spacing w:after="160" w:line="259" w:lineRule="auto"/>
      <w:ind w:left="720"/>
      <w:contextualSpacing/>
    </w:pPr>
    <w:rPr>
      <w:lang w:val="en-GB"/>
    </w:rPr>
  </w:style>
  <w:style w:type="paragraph" w:styleId="BalloonText">
    <w:name w:val="Balloon Text"/>
    <w:basedOn w:val="Normal"/>
    <w:link w:val="BalloonTextChar"/>
    <w:uiPriority w:val="99"/>
    <w:semiHidden/>
    <w:unhideWhenUsed/>
    <w:rsid w:val="002F17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73A"/>
    <w:rPr>
      <w:rFonts w:ascii="Tahoma" w:hAnsi="Tahoma" w:cs="Tahoma"/>
      <w:sz w:val="16"/>
      <w:szCs w:val="16"/>
    </w:rPr>
  </w:style>
  <w:style w:type="paragraph" w:styleId="Header">
    <w:name w:val="header"/>
    <w:basedOn w:val="Normal"/>
    <w:link w:val="HeaderChar"/>
    <w:uiPriority w:val="99"/>
    <w:unhideWhenUsed/>
    <w:rsid w:val="006C1F4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C1F4D"/>
  </w:style>
  <w:style w:type="paragraph" w:styleId="Footer">
    <w:name w:val="footer"/>
    <w:basedOn w:val="Normal"/>
    <w:link w:val="FooterChar"/>
    <w:uiPriority w:val="99"/>
    <w:unhideWhenUsed/>
    <w:rsid w:val="006C1F4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C1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0919">
      <w:bodyDiv w:val="1"/>
      <w:marLeft w:val="0"/>
      <w:marRight w:val="0"/>
      <w:marTop w:val="0"/>
      <w:marBottom w:val="0"/>
      <w:divBdr>
        <w:top w:val="none" w:sz="0" w:space="0" w:color="auto"/>
        <w:left w:val="none" w:sz="0" w:space="0" w:color="auto"/>
        <w:bottom w:val="none" w:sz="0" w:space="0" w:color="auto"/>
        <w:right w:val="none" w:sz="0" w:space="0" w:color="auto"/>
      </w:divBdr>
    </w:div>
    <w:div w:id="344326672">
      <w:bodyDiv w:val="1"/>
      <w:marLeft w:val="0"/>
      <w:marRight w:val="0"/>
      <w:marTop w:val="0"/>
      <w:marBottom w:val="0"/>
      <w:divBdr>
        <w:top w:val="none" w:sz="0" w:space="0" w:color="auto"/>
        <w:left w:val="none" w:sz="0" w:space="0" w:color="auto"/>
        <w:bottom w:val="none" w:sz="0" w:space="0" w:color="auto"/>
        <w:right w:val="none" w:sz="0" w:space="0" w:color="auto"/>
      </w:divBdr>
    </w:div>
    <w:div w:id="54849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abbr\ADAM\ADAM%20TESTS\Jack%20Rabbit%20III\DT%20&amp;%20FLADIS\Desert%20Tortoise%20&amp;%20Fladis%20for%20JRII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fabbr\ADAM\ADAM%20TESTS\Jack%20Rabbit%20III\DT%20&amp;%20FLADIS\Desert%20Tortoise%20&amp;%20Fladis%20for%20JRII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240507436570429"/>
          <c:y val="3.6870131119831978E-2"/>
          <c:w val="0.75871959755030627"/>
          <c:h val="0.84340666811704557"/>
        </c:manualLayout>
      </c:layout>
      <c:scatterChart>
        <c:scatterStyle val="lineMarker"/>
        <c:varyColors val="0"/>
        <c:ser>
          <c:idx val="1"/>
          <c:order val="0"/>
          <c:tx>
            <c:v>ideal</c:v>
          </c:tx>
          <c:spPr>
            <a:ln w="12700">
              <a:solidFill>
                <a:schemeClr val="tx1"/>
              </a:solidFill>
            </a:ln>
          </c:spPr>
          <c:marker>
            <c:symbol val="none"/>
          </c:marker>
          <c:xVal>
            <c:numRef>
              <c:f>All!$M$9:$N$9</c:f>
              <c:numCache>
                <c:formatCode>0.00E+00</c:formatCode>
                <c:ptCount val="2"/>
                <c:pt idx="0" formatCode="General">
                  <c:v>0.1</c:v>
                </c:pt>
                <c:pt idx="1">
                  <c:v>1000000</c:v>
                </c:pt>
              </c:numCache>
            </c:numRef>
          </c:xVal>
          <c:yVal>
            <c:numRef>
              <c:f>All!$M$10:$N$10</c:f>
              <c:numCache>
                <c:formatCode>0.00E+00</c:formatCode>
                <c:ptCount val="2"/>
                <c:pt idx="0" formatCode="General">
                  <c:v>0.1</c:v>
                </c:pt>
                <c:pt idx="1">
                  <c:v>1000000</c:v>
                </c:pt>
              </c:numCache>
            </c:numRef>
          </c:yVal>
          <c:smooth val="0"/>
        </c:ser>
        <c:ser>
          <c:idx val="0"/>
          <c:order val="1"/>
          <c:tx>
            <c:v>DT</c:v>
          </c:tx>
          <c:spPr>
            <a:ln w="19050">
              <a:noFill/>
            </a:ln>
          </c:spPr>
          <c:marker>
            <c:symbol val="diamond"/>
            <c:size val="8"/>
          </c:marker>
          <c:xVal>
            <c:numRef>
              <c:f>All!$B$2:$G$2</c:f>
              <c:numCache>
                <c:formatCode>General</c:formatCode>
                <c:ptCount val="6"/>
                <c:pt idx="0">
                  <c:v>49490</c:v>
                </c:pt>
                <c:pt idx="1">
                  <c:v>8790</c:v>
                </c:pt>
                <c:pt idx="2">
                  <c:v>82920</c:v>
                </c:pt>
                <c:pt idx="3">
                  <c:v>10910</c:v>
                </c:pt>
                <c:pt idx="4">
                  <c:v>57300</c:v>
                </c:pt>
                <c:pt idx="5">
                  <c:v>16678</c:v>
                </c:pt>
              </c:numCache>
            </c:numRef>
          </c:xVal>
          <c:yVal>
            <c:numRef>
              <c:f>All!$B$5:$G$5</c:f>
              <c:numCache>
                <c:formatCode>General</c:formatCode>
                <c:ptCount val="6"/>
                <c:pt idx="0">
                  <c:v>117112.9703</c:v>
                </c:pt>
                <c:pt idx="1">
                  <c:v>6384.8123489999998</c:v>
                </c:pt>
                <c:pt idx="2">
                  <c:v>154475.77239999999</c:v>
                </c:pt>
                <c:pt idx="3">
                  <c:v>10553.11838</c:v>
                </c:pt>
                <c:pt idx="4">
                  <c:v>143547.8646</c:v>
                </c:pt>
                <c:pt idx="5">
                  <c:v>12351.94872</c:v>
                </c:pt>
              </c:numCache>
            </c:numRef>
          </c:yVal>
          <c:smooth val="0"/>
        </c:ser>
        <c:ser>
          <c:idx val="3"/>
          <c:order val="2"/>
          <c:tx>
            <c:v>FLADIS</c:v>
          </c:tx>
          <c:spPr>
            <a:ln>
              <a:noFill/>
            </a:ln>
          </c:spPr>
          <c:marker>
            <c:symbol val="circle"/>
            <c:size val="6"/>
            <c:spPr>
              <a:solidFill>
                <a:srgbClr val="C00000"/>
              </a:solidFill>
              <a:ln>
                <a:noFill/>
              </a:ln>
            </c:spPr>
          </c:marker>
          <c:xVal>
            <c:numRef>
              <c:f>All!$H$2:$P$2</c:f>
              <c:numCache>
                <c:formatCode>General</c:formatCode>
                <c:ptCount val="9"/>
                <c:pt idx="0">
                  <c:v>14190</c:v>
                </c:pt>
                <c:pt idx="1">
                  <c:v>1100</c:v>
                </c:pt>
                <c:pt idx="2">
                  <c:v>70</c:v>
                </c:pt>
                <c:pt idx="3">
                  <c:v>17010</c:v>
                </c:pt>
                <c:pt idx="4">
                  <c:v>1190</c:v>
                </c:pt>
                <c:pt idx="5">
                  <c:v>140</c:v>
                </c:pt>
                <c:pt idx="6">
                  <c:v>28180</c:v>
                </c:pt>
                <c:pt idx="7">
                  <c:v>2610</c:v>
                </c:pt>
                <c:pt idx="8">
                  <c:v>70</c:v>
                </c:pt>
              </c:numCache>
            </c:numRef>
          </c:xVal>
          <c:yVal>
            <c:numRef>
              <c:f>All!$H$5:$P$5</c:f>
              <c:numCache>
                <c:formatCode>General</c:formatCode>
                <c:ptCount val="9"/>
                <c:pt idx="0">
                  <c:v>20359.957780000001</c:v>
                </c:pt>
                <c:pt idx="1">
                  <c:v>2267.5450510000001</c:v>
                </c:pt>
                <c:pt idx="2">
                  <c:v>239.73931830000001</c:v>
                </c:pt>
                <c:pt idx="3">
                  <c:v>18082.601330000001</c:v>
                </c:pt>
                <c:pt idx="4">
                  <c:v>2127.9177020000002</c:v>
                </c:pt>
                <c:pt idx="5">
                  <c:v>267.07752470000003</c:v>
                </c:pt>
                <c:pt idx="6">
                  <c:v>19773.214531653299</c:v>
                </c:pt>
                <c:pt idx="7">
                  <c:v>1463.1378223504</c:v>
                </c:pt>
                <c:pt idx="8">
                  <c:v>139.5065345056</c:v>
                </c:pt>
              </c:numCache>
            </c:numRef>
          </c:yVal>
          <c:smooth val="0"/>
        </c:ser>
        <c:dLbls>
          <c:showLegendKey val="0"/>
          <c:showVal val="0"/>
          <c:showCatName val="0"/>
          <c:showSerName val="0"/>
          <c:showPercent val="0"/>
          <c:showBubbleSize val="0"/>
        </c:dLbls>
        <c:axId val="280937984"/>
        <c:axId val="287544832"/>
      </c:scatterChart>
      <c:valAx>
        <c:axId val="280937984"/>
        <c:scaling>
          <c:logBase val="10"/>
          <c:orientation val="minMax"/>
          <c:max val="1000000"/>
          <c:min val="10"/>
        </c:scaling>
        <c:delete val="0"/>
        <c:axPos val="b"/>
        <c:title>
          <c:tx>
            <c:rich>
              <a:bodyPr/>
              <a:lstStyle/>
              <a:p>
                <a:pPr>
                  <a:defRPr/>
                </a:pPr>
                <a:r>
                  <a:rPr lang="it-IT"/>
                  <a:t>Measured concentration (ppmv)</a:t>
                </a:r>
              </a:p>
            </c:rich>
          </c:tx>
          <c:overlay val="0"/>
        </c:title>
        <c:numFmt formatCode="General" sourceLinked="1"/>
        <c:majorTickMark val="out"/>
        <c:minorTickMark val="none"/>
        <c:tickLblPos val="nextTo"/>
        <c:crossAx val="287544832"/>
        <c:crosses val="autoZero"/>
        <c:crossBetween val="midCat"/>
      </c:valAx>
      <c:valAx>
        <c:axId val="287544832"/>
        <c:scaling>
          <c:logBase val="10"/>
          <c:orientation val="minMax"/>
          <c:max val="1000000"/>
          <c:min val="10"/>
        </c:scaling>
        <c:delete val="0"/>
        <c:axPos val="l"/>
        <c:majorGridlines/>
        <c:title>
          <c:tx>
            <c:rich>
              <a:bodyPr rot="-5400000" vert="horz"/>
              <a:lstStyle/>
              <a:p>
                <a:pPr>
                  <a:defRPr/>
                </a:pPr>
                <a:r>
                  <a:rPr lang="it-IT"/>
                  <a:t>Predicted concentration (ppmv)</a:t>
                </a:r>
              </a:p>
            </c:rich>
          </c:tx>
          <c:overlay val="0"/>
        </c:title>
        <c:numFmt formatCode="General" sourceLinked="1"/>
        <c:majorTickMark val="out"/>
        <c:minorTickMark val="none"/>
        <c:tickLblPos val="nextTo"/>
        <c:crossAx val="280937984"/>
        <c:crosses val="autoZero"/>
        <c:crossBetween val="midCat"/>
      </c:valAx>
    </c:plotArea>
    <c:legend>
      <c:legendPos val="r"/>
      <c:layout>
        <c:manualLayout>
          <c:xMode val="edge"/>
          <c:yMode val="edge"/>
          <c:x val="0.73097178477690283"/>
          <c:y val="0.69883962714105219"/>
          <c:w val="0.16069488188976377"/>
          <c:h val="0.18015353446183968"/>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88772965879265"/>
          <c:y val="3.6870131119831978E-2"/>
          <c:w val="0.72434492563429576"/>
          <c:h val="0.80951696106569382"/>
        </c:manualLayout>
      </c:layout>
      <c:scatterChart>
        <c:scatterStyle val="lineMarker"/>
        <c:varyColors val="0"/>
        <c:ser>
          <c:idx val="1"/>
          <c:order val="0"/>
          <c:tx>
            <c:v>ideal</c:v>
          </c:tx>
          <c:spPr>
            <a:ln w="12700">
              <a:solidFill>
                <a:schemeClr val="tx1"/>
              </a:solidFill>
            </a:ln>
          </c:spPr>
          <c:marker>
            <c:symbol val="none"/>
          </c:marker>
          <c:xVal>
            <c:numRef>
              <c:f>All!$M$9:$N$9</c:f>
              <c:numCache>
                <c:formatCode>0.00E+00</c:formatCode>
                <c:ptCount val="2"/>
                <c:pt idx="0" formatCode="General">
                  <c:v>0.1</c:v>
                </c:pt>
                <c:pt idx="1">
                  <c:v>1000000</c:v>
                </c:pt>
              </c:numCache>
            </c:numRef>
          </c:xVal>
          <c:yVal>
            <c:numRef>
              <c:f>All!$M$10:$N$10</c:f>
              <c:numCache>
                <c:formatCode>0.00E+00</c:formatCode>
                <c:ptCount val="2"/>
                <c:pt idx="0" formatCode="General">
                  <c:v>0.1</c:v>
                </c:pt>
                <c:pt idx="1">
                  <c:v>1000000</c:v>
                </c:pt>
              </c:numCache>
            </c:numRef>
          </c:yVal>
          <c:smooth val="0"/>
        </c:ser>
        <c:ser>
          <c:idx val="0"/>
          <c:order val="1"/>
          <c:tx>
            <c:v>DT100</c:v>
          </c:tx>
          <c:spPr>
            <a:ln w="19050">
              <a:noFill/>
            </a:ln>
          </c:spPr>
          <c:marker>
            <c:symbol val="diamond"/>
            <c:size val="8"/>
          </c:marker>
          <c:xVal>
            <c:numRef>
              <c:f>All!$E$14:$G$14</c:f>
              <c:numCache>
                <c:formatCode>General</c:formatCode>
                <c:ptCount val="3"/>
                <c:pt idx="0">
                  <c:v>13.7</c:v>
                </c:pt>
                <c:pt idx="1">
                  <c:v>15.9</c:v>
                </c:pt>
                <c:pt idx="2">
                  <c:v>15.7</c:v>
                </c:pt>
              </c:numCache>
            </c:numRef>
          </c:xVal>
          <c:yVal>
            <c:numRef>
              <c:f>All!$E$50:$G$50</c:f>
              <c:numCache>
                <c:formatCode>0.0</c:formatCode>
                <c:ptCount val="3"/>
                <c:pt idx="0">
                  <c:v>12.54064479</c:v>
                </c:pt>
                <c:pt idx="1">
                  <c:v>13.90722832</c:v>
                </c:pt>
                <c:pt idx="2">
                  <c:v>15.2364642</c:v>
                </c:pt>
              </c:numCache>
            </c:numRef>
          </c:yVal>
          <c:smooth val="0"/>
        </c:ser>
        <c:ser>
          <c:idx val="2"/>
          <c:order val="2"/>
          <c:tx>
            <c:v>DT800</c:v>
          </c:tx>
          <c:spPr>
            <a:ln w="19050">
              <a:noFill/>
            </a:ln>
          </c:spPr>
          <c:marker>
            <c:symbol val="triangle"/>
            <c:size val="7"/>
          </c:marker>
          <c:xVal>
            <c:numRef>
              <c:f>All!$E$15:$G$15</c:f>
              <c:numCache>
                <c:formatCode>General</c:formatCode>
                <c:ptCount val="3"/>
                <c:pt idx="0">
                  <c:v>74.5</c:v>
                </c:pt>
                <c:pt idx="1">
                  <c:v>93.6</c:v>
                </c:pt>
                <c:pt idx="2">
                  <c:v>86</c:v>
                </c:pt>
              </c:numCache>
            </c:numRef>
          </c:xVal>
          <c:yVal>
            <c:numRef>
              <c:f>All!$E$51:$G$51</c:f>
              <c:numCache>
                <c:formatCode>0.0</c:formatCode>
                <c:ptCount val="3"/>
                <c:pt idx="0">
                  <c:v>73.691646079999998</c:v>
                </c:pt>
                <c:pt idx="1">
                  <c:v>101.52135509999999</c:v>
                </c:pt>
                <c:pt idx="2">
                  <c:v>122.7164363</c:v>
                </c:pt>
              </c:numCache>
            </c:numRef>
          </c:yVal>
          <c:smooth val="0"/>
        </c:ser>
        <c:ser>
          <c:idx val="3"/>
          <c:order val="3"/>
          <c:tx>
            <c:v>F20</c:v>
          </c:tx>
          <c:spPr>
            <a:ln>
              <a:noFill/>
            </a:ln>
          </c:spPr>
          <c:marker>
            <c:symbol val="square"/>
            <c:size val="7"/>
          </c:marker>
          <c:xVal>
            <c:numRef>
              <c:f>All!$E$23:$G$23</c:f>
              <c:numCache>
                <c:formatCode>General</c:formatCode>
                <c:ptCount val="3"/>
                <c:pt idx="0">
                  <c:v>3.54</c:v>
                </c:pt>
                <c:pt idx="1">
                  <c:v>4</c:v>
                </c:pt>
                <c:pt idx="2">
                  <c:v>3.5</c:v>
                </c:pt>
              </c:numCache>
            </c:numRef>
          </c:xVal>
          <c:yVal>
            <c:numRef>
              <c:f>All!$E$57:$G$57</c:f>
              <c:numCache>
                <c:formatCode>0.0</c:formatCode>
                <c:ptCount val="3"/>
                <c:pt idx="0">
                  <c:v>1.857576221</c:v>
                </c:pt>
                <c:pt idx="1">
                  <c:v>2.5326264690000002</c:v>
                </c:pt>
                <c:pt idx="2">
                  <c:v>2.4167726135000001</c:v>
                </c:pt>
              </c:numCache>
            </c:numRef>
          </c:yVal>
          <c:smooth val="0"/>
        </c:ser>
        <c:ser>
          <c:idx val="6"/>
          <c:order val="4"/>
          <c:tx>
            <c:v>F70</c:v>
          </c:tx>
          <c:spPr>
            <a:ln>
              <a:noFill/>
            </a:ln>
          </c:spPr>
          <c:marker>
            <c:symbol val="square"/>
            <c:size val="7"/>
            <c:spPr>
              <a:solidFill>
                <a:srgbClr val="C00000"/>
              </a:solidFill>
              <a:ln>
                <a:noFill/>
              </a:ln>
            </c:spPr>
          </c:marker>
          <c:xVal>
            <c:numRef>
              <c:f>All!$E$24:$G$24</c:f>
              <c:numCache>
                <c:formatCode>General</c:formatCode>
                <c:ptCount val="3"/>
                <c:pt idx="0">
                  <c:v>12.4</c:v>
                </c:pt>
                <c:pt idx="1">
                  <c:v>11.9</c:v>
                </c:pt>
                <c:pt idx="2">
                  <c:v>10</c:v>
                </c:pt>
              </c:numCache>
            </c:numRef>
          </c:xVal>
          <c:yVal>
            <c:numRef>
              <c:f>All!$E$58:$G$58</c:f>
              <c:numCache>
                <c:formatCode>0.0</c:formatCode>
                <c:ptCount val="3"/>
                <c:pt idx="0">
                  <c:v>6.5815935210000003</c:v>
                </c:pt>
                <c:pt idx="1">
                  <c:v>8.0168475269999995</c:v>
                </c:pt>
                <c:pt idx="2">
                  <c:v>7.6486506998000001</c:v>
                </c:pt>
              </c:numCache>
            </c:numRef>
          </c:yVal>
          <c:smooth val="0"/>
        </c:ser>
        <c:ser>
          <c:idx val="5"/>
          <c:order val="5"/>
          <c:tx>
            <c:v>F238</c:v>
          </c:tx>
          <c:spPr>
            <a:ln>
              <a:noFill/>
            </a:ln>
          </c:spPr>
          <c:marker>
            <c:symbol val="square"/>
            <c:size val="7"/>
          </c:marker>
          <c:xVal>
            <c:numRef>
              <c:f>All!$E$25:$G$25</c:f>
              <c:numCache>
                <c:formatCode>General</c:formatCode>
                <c:ptCount val="3"/>
                <c:pt idx="0">
                  <c:v>28.2</c:v>
                </c:pt>
                <c:pt idx="1">
                  <c:v>21.5</c:v>
                </c:pt>
                <c:pt idx="2">
                  <c:v>24</c:v>
                </c:pt>
              </c:numCache>
            </c:numRef>
          </c:xVal>
          <c:yVal>
            <c:numRef>
              <c:f>All!$E$59:$G$59</c:f>
              <c:numCache>
                <c:formatCode>0.0</c:formatCode>
                <c:ptCount val="3"/>
                <c:pt idx="0">
                  <c:v>19.138436680000002</c:v>
                </c:pt>
                <c:pt idx="1">
                  <c:v>20.21742325</c:v>
                </c:pt>
                <c:pt idx="2">
                  <c:v>21.109022245199998</c:v>
                </c:pt>
              </c:numCache>
            </c:numRef>
          </c:yVal>
          <c:smooth val="0"/>
        </c:ser>
        <c:dLbls>
          <c:showLegendKey val="0"/>
          <c:showVal val="0"/>
          <c:showCatName val="0"/>
          <c:showSerName val="0"/>
          <c:showPercent val="0"/>
          <c:showBubbleSize val="0"/>
        </c:dLbls>
        <c:axId val="317692544"/>
        <c:axId val="317584128"/>
      </c:scatterChart>
      <c:valAx>
        <c:axId val="317692544"/>
        <c:scaling>
          <c:logBase val="10"/>
          <c:orientation val="minMax"/>
          <c:max val="130"/>
          <c:min val="1"/>
        </c:scaling>
        <c:delete val="0"/>
        <c:axPos val="b"/>
        <c:title>
          <c:tx>
            <c:rich>
              <a:bodyPr/>
              <a:lstStyle/>
              <a:p>
                <a:pPr>
                  <a:defRPr/>
                </a:pPr>
                <a:r>
                  <a:rPr lang="it-IT"/>
                  <a:t>Measured sigma (m)</a:t>
                </a:r>
              </a:p>
            </c:rich>
          </c:tx>
          <c:overlay val="0"/>
        </c:title>
        <c:numFmt formatCode="General" sourceLinked="1"/>
        <c:majorTickMark val="out"/>
        <c:minorTickMark val="none"/>
        <c:tickLblPos val="nextTo"/>
        <c:crossAx val="317584128"/>
        <c:crosses val="autoZero"/>
        <c:crossBetween val="midCat"/>
      </c:valAx>
      <c:valAx>
        <c:axId val="317584128"/>
        <c:scaling>
          <c:logBase val="10"/>
          <c:orientation val="minMax"/>
          <c:max val="130"/>
          <c:min val="1"/>
        </c:scaling>
        <c:delete val="0"/>
        <c:axPos val="l"/>
        <c:majorGridlines/>
        <c:title>
          <c:tx>
            <c:rich>
              <a:bodyPr rot="-5400000" vert="horz"/>
              <a:lstStyle/>
              <a:p>
                <a:pPr>
                  <a:defRPr/>
                </a:pPr>
                <a:r>
                  <a:rPr lang="it-IT"/>
                  <a:t>Predicted sigma (m)</a:t>
                </a:r>
              </a:p>
              <a:p>
                <a:pPr>
                  <a:defRPr/>
                </a:pPr>
                <a:endParaRPr lang="it-IT"/>
              </a:p>
            </c:rich>
          </c:tx>
          <c:overlay val="0"/>
        </c:title>
        <c:numFmt formatCode="General" sourceLinked="1"/>
        <c:majorTickMark val="out"/>
        <c:minorTickMark val="none"/>
        <c:tickLblPos val="nextTo"/>
        <c:crossAx val="317692544"/>
        <c:crosses val="autoZero"/>
        <c:crossBetween val="midCat"/>
      </c:valAx>
    </c:plotArea>
    <c:legend>
      <c:legendPos val="r"/>
      <c:layout>
        <c:manualLayout>
          <c:xMode val="edge"/>
          <c:yMode val="edge"/>
          <c:x val="0.71601377952755896"/>
          <c:y val="0.43275637190504479"/>
          <c:w val="0.24211472524234923"/>
          <c:h val="0.36030706892367936"/>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1113</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Fabbri</dc:creator>
  <cp:lastModifiedBy>Luciano Fabbri</cp:lastModifiedBy>
  <cp:revision>3</cp:revision>
  <dcterms:created xsi:type="dcterms:W3CDTF">2022-02-15T13:13:00Z</dcterms:created>
  <dcterms:modified xsi:type="dcterms:W3CDTF">2022-02-15T13:16:00Z</dcterms:modified>
</cp:coreProperties>
</file>